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9E" w:rsidRDefault="0082199E" w:rsidP="0082199E">
      <w:pPr>
        <w:jc w:val="right"/>
        <w:rPr>
          <w:rFonts w:ascii="Times New Roman" w:hAnsi="Times New Roman"/>
          <w:sz w:val="24"/>
          <w:szCs w:val="24"/>
        </w:rPr>
      </w:pPr>
    </w:p>
    <w:p w:rsidR="0082199E" w:rsidRDefault="0082199E" w:rsidP="0082199E">
      <w:pPr>
        <w:jc w:val="right"/>
        <w:rPr>
          <w:rFonts w:ascii="Times New Roman" w:hAnsi="Times New Roman"/>
          <w:sz w:val="24"/>
          <w:szCs w:val="24"/>
        </w:rPr>
      </w:pPr>
    </w:p>
    <w:p w:rsidR="0082199E" w:rsidRDefault="0082199E" w:rsidP="0082199E">
      <w:pPr>
        <w:jc w:val="right"/>
        <w:rPr>
          <w:rFonts w:ascii="Times New Roman" w:hAnsi="Times New Roman"/>
          <w:sz w:val="24"/>
          <w:szCs w:val="24"/>
        </w:rPr>
      </w:pPr>
    </w:p>
    <w:p w:rsidR="0082199E" w:rsidRDefault="0082199E" w:rsidP="0082199E">
      <w:pPr>
        <w:jc w:val="right"/>
        <w:rPr>
          <w:rFonts w:ascii="Times New Roman" w:hAnsi="Times New Roman"/>
          <w:sz w:val="24"/>
          <w:szCs w:val="24"/>
        </w:rPr>
      </w:pPr>
      <w:r>
        <w:rPr>
          <w:rFonts w:ascii="Times New Roman" w:hAnsi="Times New Roman"/>
          <w:sz w:val="24"/>
          <w:szCs w:val="24"/>
        </w:rPr>
        <w:t>Czarnków, 30.12.2015 r.</w:t>
      </w:r>
    </w:p>
    <w:p w:rsidR="0082199E" w:rsidRDefault="0082199E" w:rsidP="0082199E">
      <w:pPr>
        <w:spacing w:before="240"/>
        <w:jc w:val="both"/>
        <w:rPr>
          <w:rFonts w:ascii="Times New Roman" w:hAnsi="Times New Roman"/>
          <w:sz w:val="24"/>
          <w:szCs w:val="24"/>
        </w:rPr>
      </w:pPr>
      <w:r>
        <w:rPr>
          <w:rFonts w:ascii="Times New Roman" w:hAnsi="Times New Roman"/>
          <w:sz w:val="24"/>
          <w:szCs w:val="24"/>
        </w:rPr>
        <w:t>Znak sprawy:</w:t>
      </w:r>
    </w:p>
    <w:p w:rsidR="0082199E" w:rsidRDefault="0082199E" w:rsidP="0082199E">
      <w:pPr>
        <w:jc w:val="both"/>
        <w:rPr>
          <w:rFonts w:ascii="Times New Roman" w:hAnsi="Times New Roman"/>
          <w:sz w:val="24"/>
          <w:szCs w:val="24"/>
        </w:rPr>
      </w:pPr>
      <w:r>
        <w:rPr>
          <w:rFonts w:ascii="Times New Roman" w:hAnsi="Times New Roman"/>
          <w:sz w:val="24"/>
          <w:szCs w:val="24"/>
        </w:rPr>
        <w:t>Fn.3120.I1.2015.P</w:t>
      </w:r>
    </w:p>
    <w:p w:rsidR="0082199E" w:rsidRDefault="0082199E" w:rsidP="0082199E">
      <w:pPr>
        <w:jc w:val="both"/>
        <w:rPr>
          <w:rFonts w:ascii="Times New Roman" w:hAnsi="Times New Roman"/>
          <w:sz w:val="24"/>
          <w:szCs w:val="24"/>
        </w:rPr>
      </w:pPr>
    </w:p>
    <w:p w:rsidR="0082199E" w:rsidRDefault="0082199E" w:rsidP="0082199E">
      <w:pPr>
        <w:jc w:val="both"/>
        <w:rPr>
          <w:rFonts w:ascii="Times New Roman" w:hAnsi="Times New Roman"/>
          <w:sz w:val="24"/>
          <w:szCs w:val="24"/>
        </w:rPr>
      </w:pPr>
    </w:p>
    <w:p w:rsidR="0082199E" w:rsidRDefault="0082199E" w:rsidP="0082199E">
      <w:pPr>
        <w:spacing w:after="240"/>
        <w:ind w:left="4536"/>
        <w:contextualSpacing/>
        <w:jc w:val="both"/>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ab/>
      </w:r>
    </w:p>
    <w:p w:rsidR="0082199E" w:rsidRDefault="0082199E" w:rsidP="0082199E">
      <w:pPr>
        <w:spacing w:after="240"/>
        <w:ind w:left="3402"/>
        <w:contextualSpacing/>
        <w:jc w:val="both"/>
        <w:rPr>
          <w:rFonts w:ascii="Times New Roman" w:hAnsi="Times New Roman"/>
          <w:sz w:val="24"/>
          <w:szCs w:val="24"/>
        </w:rPr>
      </w:pPr>
    </w:p>
    <w:p w:rsidR="0082199E" w:rsidRDefault="0082199E" w:rsidP="0082199E">
      <w:pPr>
        <w:spacing w:after="240"/>
        <w:ind w:left="3402"/>
        <w:contextualSpacing/>
        <w:jc w:val="both"/>
        <w:rPr>
          <w:rFonts w:ascii="Times New Roman" w:hAnsi="Times New Roman"/>
          <w:sz w:val="24"/>
          <w:szCs w:val="24"/>
        </w:rPr>
      </w:pPr>
      <w:r>
        <w:rPr>
          <w:rFonts w:ascii="Times New Roman" w:hAnsi="Times New Roman"/>
          <w:sz w:val="24"/>
          <w:szCs w:val="24"/>
        </w:rPr>
        <w:tab/>
      </w:r>
    </w:p>
    <w:p w:rsidR="0082199E" w:rsidRDefault="0082199E" w:rsidP="0082199E">
      <w:pPr>
        <w:spacing w:before="240" w:after="240"/>
        <w:contextualSpacing/>
        <w:jc w:val="center"/>
        <w:rPr>
          <w:rFonts w:ascii="Times New Roman" w:hAnsi="Times New Roman"/>
          <w:b/>
          <w:bCs/>
          <w:sz w:val="24"/>
          <w:szCs w:val="24"/>
        </w:rPr>
      </w:pPr>
      <w:r>
        <w:rPr>
          <w:rFonts w:ascii="Times New Roman" w:hAnsi="Times New Roman"/>
          <w:b/>
          <w:bCs/>
          <w:sz w:val="24"/>
          <w:szCs w:val="24"/>
        </w:rPr>
        <w:t>PISEMNA INTERPRETACJA PRZEPISÓW PRAWA PODATKOWEGO</w:t>
      </w:r>
    </w:p>
    <w:p w:rsidR="0082199E" w:rsidRDefault="0082199E" w:rsidP="0082199E">
      <w:pPr>
        <w:spacing w:before="240" w:after="240"/>
        <w:contextualSpacing/>
        <w:jc w:val="center"/>
        <w:rPr>
          <w:rFonts w:ascii="Times New Roman" w:hAnsi="Times New Roman"/>
          <w:b/>
          <w:bCs/>
          <w:sz w:val="24"/>
          <w:szCs w:val="24"/>
        </w:rPr>
      </w:pPr>
    </w:p>
    <w:p w:rsidR="0082199E" w:rsidRDefault="0082199E" w:rsidP="0082199E">
      <w:pPr>
        <w:spacing w:before="240" w:after="240"/>
        <w:contextualSpacing/>
        <w:jc w:val="center"/>
        <w:rPr>
          <w:rFonts w:ascii="Times New Roman" w:hAnsi="Times New Roman"/>
          <w:sz w:val="24"/>
          <w:szCs w:val="24"/>
        </w:rPr>
      </w:pPr>
    </w:p>
    <w:p w:rsidR="0082199E" w:rsidRDefault="0082199E" w:rsidP="0082199E">
      <w:pPr>
        <w:spacing w:before="240"/>
        <w:ind w:firstLine="720"/>
        <w:jc w:val="both"/>
        <w:rPr>
          <w:rFonts w:ascii="Times New Roman" w:hAnsi="Times New Roman"/>
          <w:sz w:val="24"/>
          <w:szCs w:val="24"/>
        </w:rPr>
      </w:pPr>
      <w:r>
        <w:rPr>
          <w:rFonts w:ascii="Times New Roman" w:hAnsi="Times New Roman"/>
          <w:sz w:val="24"/>
          <w:szCs w:val="24"/>
        </w:rPr>
        <w:t xml:space="preserve">Burmistrz Miasta Czarnków, działając na podstawie art. 14j § 1 i 3 w zw. z art. 14b, art. 14c i art. 14k § 1 ustawy z dnia 29 sierpnia 1997 r. - Ordynacja podatkowa (tekst jedn.: Dz. U. z 2015 r. poz. 613 z </w:t>
      </w:r>
      <w:proofErr w:type="spellStart"/>
      <w:r>
        <w:rPr>
          <w:rFonts w:ascii="Times New Roman" w:hAnsi="Times New Roman"/>
          <w:sz w:val="24"/>
          <w:szCs w:val="24"/>
        </w:rPr>
        <w:t>późn</w:t>
      </w:r>
      <w:proofErr w:type="spellEnd"/>
      <w:r>
        <w:rPr>
          <w:rFonts w:ascii="Times New Roman" w:hAnsi="Times New Roman"/>
          <w:sz w:val="24"/>
          <w:szCs w:val="24"/>
        </w:rPr>
        <w:t>. zm.), art. 1a ust. 1 pkt 1 i 2 ustawy z dnia 12 stycznia 1991 r. o podatkach i opłatach lokalnych</w:t>
      </w:r>
      <w:r>
        <w:t xml:space="preserve"> </w:t>
      </w:r>
      <w:r>
        <w:rPr>
          <w:rFonts w:ascii="Times New Roman" w:hAnsi="Times New Roman"/>
          <w:sz w:val="24"/>
          <w:szCs w:val="24"/>
        </w:rPr>
        <w:t>(tekst jedn.: Dz. U. z 2014 r., poz. 849)</w:t>
      </w:r>
      <w:r>
        <w:rPr>
          <w:rStyle w:val="Odwoanieprzypisudolnego"/>
        </w:rPr>
        <w:t xml:space="preserve"> </w:t>
      </w:r>
      <w:r>
        <w:rPr>
          <w:rStyle w:val="Odwoanieprzypisudolnego"/>
        </w:rPr>
        <w:footnoteReference w:id="1"/>
      </w:r>
      <w:r>
        <w:rPr>
          <w:rFonts w:ascii="Times New Roman" w:hAnsi="Times New Roman"/>
          <w:sz w:val="24"/>
          <w:szCs w:val="24"/>
        </w:rPr>
        <w:t>, art. 3 ustawy z dnia 7 lipca 1994 roku – Prawo budowlane (tekst jedn.: Dz.U. z 2013 r., poz. 1409 ze zm.)</w:t>
      </w:r>
    </w:p>
    <w:p w:rsidR="0082199E" w:rsidRDefault="0082199E" w:rsidP="0082199E">
      <w:pPr>
        <w:spacing w:before="240" w:after="240"/>
        <w:contextualSpacing/>
        <w:jc w:val="center"/>
        <w:rPr>
          <w:rFonts w:ascii="Times New Roman" w:hAnsi="Times New Roman"/>
          <w:b/>
          <w:bCs/>
          <w:sz w:val="24"/>
          <w:szCs w:val="24"/>
        </w:rPr>
      </w:pPr>
    </w:p>
    <w:p w:rsidR="0082199E" w:rsidRDefault="0082199E" w:rsidP="0082199E">
      <w:pPr>
        <w:spacing w:before="240" w:after="240"/>
        <w:contextualSpacing/>
        <w:jc w:val="center"/>
        <w:rPr>
          <w:rFonts w:ascii="Times New Roman" w:hAnsi="Times New Roman"/>
          <w:b/>
          <w:bCs/>
          <w:sz w:val="24"/>
          <w:szCs w:val="24"/>
        </w:rPr>
      </w:pPr>
      <w:r>
        <w:rPr>
          <w:rFonts w:ascii="Times New Roman" w:hAnsi="Times New Roman"/>
          <w:b/>
          <w:bCs/>
          <w:sz w:val="24"/>
          <w:szCs w:val="24"/>
        </w:rPr>
        <w:t>postanawia:</w:t>
      </w:r>
    </w:p>
    <w:p w:rsidR="0082199E" w:rsidRDefault="0082199E" w:rsidP="0082199E">
      <w:pPr>
        <w:spacing w:before="240" w:after="240"/>
        <w:contextualSpacing/>
        <w:jc w:val="center"/>
        <w:rPr>
          <w:rFonts w:ascii="Times New Roman" w:hAnsi="Times New Roman"/>
          <w:sz w:val="24"/>
          <w:szCs w:val="24"/>
        </w:rPr>
      </w:pPr>
    </w:p>
    <w:p w:rsidR="0082199E" w:rsidRDefault="0082199E" w:rsidP="0082199E">
      <w:pPr>
        <w:spacing w:before="240"/>
        <w:contextualSpacing/>
        <w:jc w:val="both"/>
        <w:rPr>
          <w:rFonts w:ascii="Times New Roman" w:hAnsi="Times New Roman"/>
          <w:sz w:val="24"/>
          <w:szCs w:val="24"/>
        </w:rPr>
      </w:pPr>
      <w:r>
        <w:rPr>
          <w:rFonts w:ascii="Times New Roman" w:hAnsi="Times New Roman"/>
          <w:sz w:val="24"/>
          <w:szCs w:val="24"/>
        </w:rPr>
        <w:t>uznać za prawidłowe stanowisko strony dotyczące zakwalifikowania przedmiotowych wiat jako budowle</w:t>
      </w:r>
    </w:p>
    <w:p w:rsidR="0082199E" w:rsidRDefault="0082199E" w:rsidP="0082199E">
      <w:pPr>
        <w:spacing w:before="240" w:after="240"/>
        <w:contextualSpacing/>
        <w:jc w:val="center"/>
        <w:rPr>
          <w:rFonts w:ascii="Times New Roman" w:hAnsi="Times New Roman"/>
          <w:b/>
          <w:bCs/>
          <w:sz w:val="24"/>
          <w:szCs w:val="24"/>
        </w:rPr>
      </w:pPr>
    </w:p>
    <w:p w:rsidR="0082199E" w:rsidRDefault="0082199E" w:rsidP="0082199E">
      <w:pPr>
        <w:spacing w:before="240" w:after="240"/>
        <w:contextualSpacing/>
        <w:jc w:val="center"/>
        <w:rPr>
          <w:rFonts w:ascii="Times New Roman" w:hAnsi="Times New Roman"/>
          <w:sz w:val="24"/>
          <w:szCs w:val="24"/>
        </w:rPr>
      </w:pPr>
      <w:r>
        <w:rPr>
          <w:rFonts w:ascii="Times New Roman" w:hAnsi="Times New Roman"/>
          <w:b/>
          <w:bCs/>
          <w:sz w:val="24"/>
          <w:szCs w:val="24"/>
        </w:rPr>
        <w:t>UZASADNIENIE</w:t>
      </w:r>
    </w:p>
    <w:p w:rsidR="0082199E" w:rsidRDefault="0082199E" w:rsidP="0082199E">
      <w:pPr>
        <w:ind w:firstLine="720"/>
        <w:jc w:val="both"/>
        <w:rPr>
          <w:rFonts w:ascii="Times New Roman" w:hAnsi="Times New Roman"/>
          <w:sz w:val="24"/>
          <w:szCs w:val="24"/>
        </w:rPr>
      </w:pPr>
    </w:p>
    <w:p w:rsidR="0082199E" w:rsidRDefault="0082199E" w:rsidP="0082199E">
      <w:pPr>
        <w:ind w:firstLine="720"/>
        <w:jc w:val="both"/>
        <w:rPr>
          <w:rFonts w:ascii="Times New Roman" w:hAnsi="Times New Roman"/>
          <w:sz w:val="24"/>
          <w:szCs w:val="24"/>
        </w:rPr>
      </w:pPr>
      <w:r>
        <w:rPr>
          <w:rFonts w:ascii="Times New Roman" w:hAnsi="Times New Roman"/>
          <w:sz w:val="24"/>
          <w:szCs w:val="24"/>
        </w:rPr>
        <w:t xml:space="preserve">Spółka ……………………………….. pismem z dnia 27 listopada 2015 r. (data wpływu do tut. urzędu 30.11.2015r.) zwróciła się do Burmistrza Miasta Czarnków w trybie art. 14b, w związku z art. 14j Ordynacji podatkowej z prośbą o wydanie interpretacji indywidualnej przepisów prawa podatkowego, co do zastosowania art. 1a ust. 1 pkt 1 i 2 ustawy z dnia 12 stycznia 1991 r. o podatkach i opłatach lokalnych. </w:t>
      </w:r>
    </w:p>
    <w:p w:rsidR="0082199E" w:rsidRDefault="0082199E" w:rsidP="0082199E">
      <w:pPr>
        <w:jc w:val="both"/>
        <w:rPr>
          <w:rFonts w:ascii="Times New Roman" w:hAnsi="Times New Roman"/>
          <w:sz w:val="10"/>
          <w:szCs w:val="10"/>
        </w:rPr>
      </w:pPr>
    </w:p>
    <w:p w:rsidR="0082199E" w:rsidRDefault="0082199E" w:rsidP="0082199E">
      <w:pPr>
        <w:jc w:val="both"/>
        <w:rPr>
          <w:rFonts w:ascii="Times New Roman" w:hAnsi="Times New Roman"/>
          <w:sz w:val="24"/>
          <w:szCs w:val="24"/>
        </w:rPr>
      </w:pPr>
      <w:r>
        <w:rPr>
          <w:rFonts w:ascii="Times New Roman" w:hAnsi="Times New Roman"/>
          <w:sz w:val="24"/>
          <w:szCs w:val="24"/>
        </w:rPr>
        <w:t xml:space="preserve">Podatnik w deklaracjach na podatek od nieruchomości deklaruje do opodatkowania jako budynki „wiatę przy pakowalni”, „wiatę przy kotłowni”, wiatę magazynową”. Zdaniem podatnika przedmiotowe nieruchomości nie są wydzielone z przestrzeni za pomocą przegród budowlanych, zatem w myśl przepisów ustawy o podatkach i opłatach lokalnych stanowią budowle. W związku z tym spółka zamierza dokonać korekt deklaracji w podatku od nieruchomości i opodatkować ww. wiaty jako budowle. Do wniosku załączono fotografie ww. wiat. </w:t>
      </w:r>
    </w:p>
    <w:p w:rsidR="0082199E" w:rsidRDefault="0082199E" w:rsidP="0082199E">
      <w:pPr>
        <w:jc w:val="both"/>
        <w:rPr>
          <w:rFonts w:ascii="Times New Roman" w:hAnsi="Times New Roman"/>
          <w:sz w:val="24"/>
          <w:szCs w:val="24"/>
        </w:rPr>
      </w:pPr>
    </w:p>
    <w:p w:rsidR="0082199E" w:rsidRDefault="0082199E" w:rsidP="0082199E">
      <w:pPr>
        <w:jc w:val="both"/>
        <w:rPr>
          <w:rFonts w:ascii="Times New Roman" w:hAnsi="Times New Roman"/>
          <w:sz w:val="24"/>
          <w:szCs w:val="24"/>
        </w:rPr>
      </w:pPr>
      <w:r>
        <w:rPr>
          <w:rFonts w:ascii="Times New Roman" w:hAnsi="Times New Roman"/>
          <w:sz w:val="24"/>
          <w:szCs w:val="24"/>
        </w:rPr>
        <w:t xml:space="preserve">Pytanie wnioskodawcy brzmi: „czy dokonanie korekt deklaracji na podatek od nieruchomości </w:t>
      </w:r>
      <w:r>
        <w:rPr>
          <w:rFonts w:ascii="Times New Roman" w:hAnsi="Times New Roman"/>
          <w:sz w:val="24"/>
          <w:szCs w:val="24"/>
        </w:rPr>
        <w:lastRenderedPageBreak/>
        <w:t>poprzez opodatkowanie przedmiotowych wiat jako budowli będzie prawidłowe w myśl obowiązujących przepisów?”</w:t>
      </w:r>
    </w:p>
    <w:p w:rsidR="0082199E" w:rsidRDefault="0082199E" w:rsidP="0082199E">
      <w:pPr>
        <w:jc w:val="both"/>
        <w:rPr>
          <w:rFonts w:ascii="Times New Roman" w:hAnsi="Times New Roman"/>
          <w:sz w:val="10"/>
          <w:szCs w:val="10"/>
        </w:rPr>
      </w:pPr>
    </w:p>
    <w:p w:rsidR="0082199E" w:rsidRDefault="0082199E" w:rsidP="0082199E">
      <w:pPr>
        <w:ind w:firstLine="720"/>
        <w:jc w:val="both"/>
        <w:rPr>
          <w:rFonts w:ascii="Times New Roman" w:hAnsi="Times New Roman"/>
          <w:sz w:val="24"/>
          <w:szCs w:val="24"/>
        </w:rPr>
      </w:pPr>
      <w:r>
        <w:rPr>
          <w:rFonts w:ascii="Times New Roman" w:hAnsi="Times New Roman"/>
          <w:sz w:val="24"/>
          <w:szCs w:val="24"/>
        </w:rPr>
        <w:t>Wnioskodawca wyczerpująco przedstawił stan faktyczny, własne stanowisko w sprawie oceny prawnej tego stanu prawnego, złożył oświadczenie, że elementy stanu faktycznego objęte wnioskiem o wydanie interpretacji w dniu złożenia wniosku nie są przedmiotem toczącego się postępowania podatkowego, kontroli podatkowej, postępowania kontrolnego organu kontroli skarbowej oraz że w tym zakresie sprawa nie została rozstrzygnięta co do jej istoty w decyzji lub postanowieniu organu podatkowego lub organu kontroli skarbowej oraz uiścił stosowną opłatę w wysokości 40 zł.</w:t>
      </w:r>
    </w:p>
    <w:p w:rsidR="0082199E" w:rsidRDefault="0082199E" w:rsidP="0082199E">
      <w:pPr>
        <w:spacing w:before="240"/>
        <w:ind w:firstLine="720"/>
        <w:jc w:val="both"/>
        <w:rPr>
          <w:rFonts w:ascii="Times New Roman" w:hAnsi="Times New Roman"/>
          <w:b/>
          <w:bCs/>
          <w:sz w:val="24"/>
          <w:szCs w:val="24"/>
        </w:rPr>
      </w:pPr>
      <w:r>
        <w:rPr>
          <w:rFonts w:ascii="Times New Roman" w:hAnsi="Times New Roman"/>
          <w:b/>
          <w:bCs/>
          <w:sz w:val="24"/>
          <w:szCs w:val="24"/>
        </w:rPr>
        <w:t xml:space="preserve">Po rozpatrzeniu wniosku Burmistrz Miasta Czarnków zważył, co następuje: </w:t>
      </w:r>
    </w:p>
    <w:p w:rsidR="0082199E" w:rsidRDefault="0082199E" w:rsidP="0082199E">
      <w:pPr>
        <w:ind w:firstLine="720"/>
        <w:jc w:val="both"/>
        <w:rPr>
          <w:rFonts w:ascii="Times New Roman" w:hAnsi="Times New Roman"/>
          <w:sz w:val="24"/>
          <w:szCs w:val="24"/>
        </w:rPr>
      </w:pPr>
    </w:p>
    <w:p w:rsidR="0082199E" w:rsidRDefault="0082199E" w:rsidP="0082199E">
      <w:pPr>
        <w:ind w:firstLine="708"/>
        <w:jc w:val="both"/>
        <w:rPr>
          <w:rFonts w:ascii="Times New Roman" w:hAnsi="Times New Roman"/>
          <w:sz w:val="24"/>
          <w:szCs w:val="24"/>
        </w:rPr>
      </w:pPr>
      <w:r>
        <w:rPr>
          <w:rFonts w:ascii="Times New Roman" w:hAnsi="Times New Roman"/>
          <w:sz w:val="24"/>
          <w:szCs w:val="24"/>
        </w:rPr>
        <w:t>Ustawodawca w cytowanej na wstępie ustawie z dnia 12 stycznia 1991 r. o podatkach i opłatach lokalnych wskazuje definicję budynku oraz budowli.</w:t>
      </w:r>
    </w:p>
    <w:p w:rsidR="0082199E" w:rsidRDefault="0082199E" w:rsidP="0082199E">
      <w:pPr>
        <w:ind w:firstLine="708"/>
        <w:jc w:val="both"/>
        <w:rPr>
          <w:rFonts w:ascii="Times New Roman" w:hAnsi="Times New Roman"/>
          <w:sz w:val="24"/>
          <w:szCs w:val="24"/>
        </w:rPr>
      </w:pPr>
      <w:r>
        <w:rPr>
          <w:rFonts w:ascii="Times New Roman" w:hAnsi="Times New Roman"/>
          <w:sz w:val="24"/>
          <w:szCs w:val="24"/>
        </w:rPr>
        <w:t>Zgodnie z art. 1a ust. 1 pkt 1 ww. ustawy o podatkach i opłatach lokalnych budynek to obiekt budowlany w rozumieniu przepisów prawa budowlanego, który jest trwale związany z gruntem, wydzielony z przestrzeni za pomocą przegród budowlanych oraz posiada fundamenty i dach. Za budynek trwale związany z gruntem można uznać tylko taki, który  spełnia dwa warunki: nie można go od gruntu oderwać bez jego uszkodzenia oraz nie jest to obiekt wzniesiony do tzw. przemijającego użytku (wyrok WSA w Warszawie z 26.08.2009 r., III SA/</w:t>
      </w:r>
      <w:proofErr w:type="spellStart"/>
      <w:r>
        <w:rPr>
          <w:rFonts w:ascii="Times New Roman" w:hAnsi="Times New Roman"/>
          <w:sz w:val="24"/>
          <w:szCs w:val="24"/>
        </w:rPr>
        <w:t>Wa</w:t>
      </w:r>
      <w:proofErr w:type="spellEnd"/>
      <w:r>
        <w:rPr>
          <w:rFonts w:ascii="Times New Roman" w:hAnsi="Times New Roman"/>
          <w:sz w:val="24"/>
          <w:szCs w:val="24"/>
        </w:rPr>
        <w:t xml:space="preserve"> 1144/09). Z kolei podnoszony przez wnioskodawcę warunek wydzielenia obiektu z przestrzeni za pomocą przegrody budowlanej jest spełniony w sytuacji całościowego wydzielenia, czyli oddzielenia danego obiektu od przestrzeni. W wyroku WSA w Gliwicach z dnia 7 lutego 2012 r., I SA/</w:t>
      </w:r>
      <w:proofErr w:type="spellStart"/>
      <w:r>
        <w:rPr>
          <w:rFonts w:ascii="Times New Roman" w:hAnsi="Times New Roman"/>
          <w:sz w:val="24"/>
          <w:szCs w:val="24"/>
        </w:rPr>
        <w:t>Gl</w:t>
      </w:r>
      <w:proofErr w:type="spellEnd"/>
      <w:r>
        <w:rPr>
          <w:rFonts w:ascii="Times New Roman" w:hAnsi="Times New Roman"/>
          <w:sz w:val="24"/>
          <w:szCs w:val="24"/>
        </w:rPr>
        <w:t xml:space="preserve"> 604/11 przyjęto, że przegrody budowlane muszą go oddzielać od przestrzeni z każdej ze stron. Przegrody takie winny być ujęte w procesie budowlanym, począwszy od etapu projektowania. Należy przy tym zaznaczyć, że przegroda budowlana nie musi stanowić jednolitej zamkniętej ściany, mogą się w niej znajdować różnego rodzaju otwory, np. drzwi czy okna, co jest oczywiste i logiczne, gdyż budynek - co do zasady - nie może mieć litych przegród. Budynek zgodnie z definicją powinien również posiadać dach, przy czym stan dachu, jego uszkodzenie lub częściowe usunięcie nie oznacza, że dany obiekt „nie posiada dachu”, a przez to przestaje być budynkiem w rozumieniu ustawy podatkowej. Budynek musi też zawierać fundamenty, przy czym każdy rodzaj fundamentów dopuszczony przez prawo budowlane jest wystarczający do spełnienia powyższego warunku.      </w:t>
      </w:r>
    </w:p>
    <w:p w:rsidR="0082199E" w:rsidRDefault="0082199E" w:rsidP="0082199E">
      <w:pPr>
        <w:jc w:val="both"/>
        <w:rPr>
          <w:rFonts w:ascii="Times New Roman" w:hAnsi="Times New Roman"/>
          <w:sz w:val="24"/>
          <w:szCs w:val="24"/>
        </w:rPr>
      </w:pPr>
      <w:r>
        <w:rPr>
          <w:rFonts w:ascii="Times New Roman" w:hAnsi="Times New Roman"/>
          <w:sz w:val="24"/>
          <w:szCs w:val="24"/>
        </w:rPr>
        <w:t>Reasumując powyższe, aby zakwalifikować dany obiekt budowlanego jako budynek muszą być spełnione wszystkie powyższe cechy budynku, gdyż brak któregokolwiek z elementów powoduje skutki w zakresie obowiązku podatkowego, czy też uznaniu obiektu w niektórych przypadkach za budowlę.</w:t>
      </w:r>
    </w:p>
    <w:p w:rsidR="0082199E" w:rsidRDefault="0082199E" w:rsidP="0082199E">
      <w:pPr>
        <w:ind w:firstLine="708"/>
        <w:jc w:val="both"/>
        <w:rPr>
          <w:rFonts w:ascii="Times New Roman" w:hAnsi="Times New Roman"/>
          <w:sz w:val="24"/>
          <w:szCs w:val="24"/>
        </w:rPr>
      </w:pPr>
      <w:r>
        <w:rPr>
          <w:rFonts w:ascii="Times New Roman" w:hAnsi="Times New Roman"/>
          <w:sz w:val="24"/>
          <w:szCs w:val="24"/>
        </w:rPr>
        <w:t xml:space="preserve">Z kolei stosownie do treści art. 1a ust. 1 pkt 2 ww. ustawy budowla to obiekt budowlany w rozumieniu przepisów prawa budowlanego niebędący budynkiem lub obiektem małej architektury, a także urządzenie budowlane w rozumieniu przepisów prawa budowlanego związane z obiektem budowlanym, które zapewnia możliwość użytkowania obiektu zgodnie z jego przeznaczeniem.     </w:t>
      </w:r>
    </w:p>
    <w:p w:rsidR="0082199E" w:rsidRDefault="0082199E" w:rsidP="0082199E">
      <w:pPr>
        <w:jc w:val="both"/>
        <w:rPr>
          <w:rFonts w:ascii="Times New Roman" w:hAnsi="Times New Roman"/>
          <w:sz w:val="24"/>
          <w:szCs w:val="24"/>
        </w:rPr>
      </w:pPr>
      <w:r>
        <w:rPr>
          <w:rFonts w:ascii="Times New Roman" w:hAnsi="Times New Roman"/>
          <w:sz w:val="24"/>
          <w:szCs w:val="24"/>
        </w:rPr>
        <w:t xml:space="preserve">Prawo budowlane definiuje budowlę jako każdy obiekt budowlany niebędący budynkiem lub obiektem małej architektury, jak: obiekty liniowe, lotniska, mosty, wiadukty, estakady, tunele, przepusty, sieci techniczne, wolno stojące maszty antenowe,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w:t>
      </w:r>
      <w:r>
        <w:rPr>
          <w:rFonts w:ascii="Times New Roman" w:hAnsi="Times New Roman"/>
          <w:sz w:val="24"/>
          <w:szCs w:val="24"/>
          <w:shd w:val="clear" w:color="auto" w:fill="FFFFFF" w:themeFill="background1"/>
        </w:rPr>
        <w:t xml:space="preserve">budowlane </w:t>
      </w:r>
      <w:r>
        <w:rPr>
          <w:rFonts w:ascii="Times New Roman" w:hAnsi="Times New Roman"/>
          <w:sz w:val="24"/>
          <w:szCs w:val="24"/>
        </w:rPr>
        <w:t xml:space="preserve">urządzeń </w:t>
      </w:r>
      <w:r>
        <w:rPr>
          <w:rFonts w:ascii="Times New Roman" w:hAnsi="Times New Roman"/>
          <w:sz w:val="24"/>
          <w:szCs w:val="24"/>
        </w:rPr>
        <w:lastRenderedPageBreak/>
        <w:t xml:space="preserve">technicznych (kotłów, pieców przemysłowych, elektrowni wiatrowych, elektrowni jądrowych i innych urządzeń) oraz fundamenty pod maszyny i urządzenia, jako odrębne pod względem technicznym części przedmiotów składających się na całość użytkową. </w:t>
      </w:r>
    </w:p>
    <w:p w:rsidR="0082199E" w:rsidRDefault="0082199E" w:rsidP="0082199E">
      <w:pPr>
        <w:jc w:val="both"/>
        <w:rPr>
          <w:rFonts w:ascii="Times New Roman" w:hAnsi="Times New Roman"/>
          <w:sz w:val="10"/>
          <w:szCs w:val="10"/>
        </w:rPr>
      </w:pPr>
    </w:p>
    <w:p w:rsidR="0082199E" w:rsidRDefault="0082199E" w:rsidP="0082199E">
      <w:pPr>
        <w:jc w:val="both"/>
        <w:rPr>
          <w:rFonts w:ascii="Times New Roman" w:hAnsi="Times New Roman"/>
          <w:sz w:val="24"/>
          <w:szCs w:val="24"/>
        </w:rPr>
      </w:pPr>
      <w:r>
        <w:rPr>
          <w:rFonts w:ascii="Times New Roman" w:hAnsi="Times New Roman"/>
          <w:sz w:val="24"/>
          <w:szCs w:val="24"/>
        </w:rPr>
        <w:tab/>
        <w:t>Biorąc pod uwagę wyżej wskazane przepisy oraz przedstawiony przez podatnika stan faktyczny należy stwierdzić, że wiaty wskazane przez podatnika, nie wydzielone ze wszystkich stron za pomocą przegród budowlanych nie spełniają ustawowej definicji budynku zawartej w art. 1a ust. 1 pkt 1 ww. ustawy o podatkach i opłatach lokalnych.</w:t>
      </w:r>
      <w:r>
        <w:rPr>
          <w:rStyle w:val="Pogrubienie"/>
          <w:sz w:val="24"/>
          <w:szCs w:val="24"/>
          <w:lang w:val="de-DE"/>
        </w:rPr>
        <w:t xml:space="preserve"> </w:t>
      </w:r>
      <w:r w:rsidRPr="0082199E">
        <w:rPr>
          <w:rStyle w:val="Pogrubienie"/>
          <w:rFonts w:ascii="Times New Roman" w:hAnsi="Times New Roman"/>
          <w:b w:val="0"/>
          <w:sz w:val="24"/>
          <w:szCs w:val="24"/>
          <w:lang w:val="de-DE"/>
        </w:rPr>
        <w:t>W związku z powyższym obiekty budowlane</w:t>
      </w:r>
      <w:r>
        <w:rPr>
          <w:rStyle w:val="Pogrubienie"/>
          <w:sz w:val="24"/>
          <w:szCs w:val="24"/>
          <w:lang w:val="de-DE"/>
        </w:rPr>
        <w:t xml:space="preserve"> </w:t>
      </w:r>
      <w:r>
        <w:rPr>
          <w:rFonts w:ascii="Times New Roman" w:hAnsi="Times New Roman"/>
          <w:sz w:val="24"/>
          <w:szCs w:val="24"/>
        </w:rPr>
        <w:t xml:space="preserve">objęte wnioskiem stanowią budowle podlegające opodatkowaniu podatkiem od nieruchomości zgodnie z art. 2 ust. 1 pkt 3 ustawy o podatkach i opłatach lokalnych, a podstawę ich opodatkowania stanowi wartość określona zgodnie z art. 4 ust. 1 pkt 3 ww. ustawy.  </w:t>
      </w:r>
    </w:p>
    <w:p w:rsidR="0082199E" w:rsidRDefault="0082199E" w:rsidP="0082199E">
      <w:pPr>
        <w:jc w:val="both"/>
        <w:rPr>
          <w:rFonts w:ascii="Times New Roman" w:hAnsi="Times New Roman"/>
          <w:sz w:val="10"/>
          <w:szCs w:val="10"/>
        </w:rPr>
      </w:pPr>
    </w:p>
    <w:p w:rsidR="0082199E" w:rsidRDefault="0082199E" w:rsidP="0082199E">
      <w:pPr>
        <w:jc w:val="both"/>
        <w:rPr>
          <w:rFonts w:ascii="Times New Roman" w:hAnsi="Times New Roman"/>
          <w:sz w:val="24"/>
          <w:szCs w:val="24"/>
        </w:rPr>
      </w:pPr>
      <w:r>
        <w:rPr>
          <w:rFonts w:ascii="Times New Roman" w:hAnsi="Times New Roman"/>
          <w:sz w:val="24"/>
          <w:szCs w:val="24"/>
        </w:rPr>
        <w:t>Ponadto organ podatkowy informuje, że rozpatrując wniosek o wydanie indywidualnej interpretacji prawa podatkowego może rozpatrzyć go wyłącznie w ramach zagadnienia przedstawionego przez podatnika, stanu przedstawionego przez niego i przedstawionego przez niego własnego stanowiska w sprawie, nie może natomiast odnosić się do przedstawionych przez podatnika dowodów oraz przeprowadzania jej oceny, jak również nie może prowadzić postępowania dowodowego. Potwierdzeniem ww. stanowiska stanowi wyrok Wojewódzkiego Sądu Administracyjnego w Warszawie z dnia 26 lutego 2008 r., sygn. akt III SA/</w:t>
      </w:r>
      <w:proofErr w:type="spellStart"/>
      <w:r>
        <w:rPr>
          <w:rFonts w:ascii="Times New Roman" w:hAnsi="Times New Roman"/>
          <w:sz w:val="24"/>
          <w:szCs w:val="24"/>
        </w:rPr>
        <w:t>Wa</w:t>
      </w:r>
      <w:proofErr w:type="spellEnd"/>
      <w:r>
        <w:rPr>
          <w:rFonts w:ascii="Times New Roman" w:hAnsi="Times New Roman"/>
          <w:sz w:val="24"/>
          <w:szCs w:val="24"/>
        </w:rPr>
        <w:t xml:space="preserve"> 20/08.    </w:t>
      </w:r>
    </w:p>
    <w:p w:rsidR="0082199E" w:rsidRDefault="0082199E" w:rsidP="0082199E">
      <w:pPr>
        <w:ind w:firstLine="720"/>
        <w:jc w:val="both"/>
        <w:rPr>
          <w:rFonts w:ascii="Times New Roman" w:hAnsi="Times New Roman"/>
          <w:sz w:val="10"/>
          <w:szCs w:val="10"/>
        </w:rPr>
      </w:pPr>
    </w:p>
    <w:p w:rsidR="0082199E" w:rsidRDefault="0082199E" w:rsidP="0082199E">
      <w:pPr>
        <w:jc w:val="both"/>
        <w:rPr>
          <w:rFonts w:ascii="Times New Roman" w:hAnsi="Times New Roman"/>
          <w:sz w:val="24"/>
          <w:szCs w:val="24"/>
        </w:rPr>
      </w:pPr>
      <w:r>
        <w:rPr>
          <w:rFonts w:ascii="Times New Roman" w:hAnsi="Times New Roman"/>
          <w:sz w:val="24"/>
          <w:szCs w:val="24"/>
        </w:rPr>
        <w:t xml:space="preserve">W tym stanie rzeczy postanowiono jak wyżej. </w:t>
      </w:r>
    </w:p>
    <w:p w:rsidR="0082199E" w:rsidRDefault="0082199E" w:rsidP="0082199E">
      <w:pPr>
        <w:spacing w:before="240"/>
        <w:jc w:val="both"/>
        <w:rPr>
          <w:rFonts w:ascii="Times New Roman" w:hAnsi="Times New Roman"/>
          <w:sz w:val="24"/>
          <w:szCs w:val="24"/>
        </w:rPr>
      </w:pPr>
      <w:r>
        <w:rPr>
          <w:rFonts w:ascii="Times New Roman" w:hAnsi="Times New Roman"/>
          <w:b/>
          <w:bCs/>
          <w:sz w:val="24"/>
          <w:szCs w:val="24"/>
          <w:u w:val="single"/>
        </w:rPr>
        <w:t>Pouczenie:</w:t>
      </w:r>
    </w:p>
    <w:p w:rsidR="0082199E" w:rsidRDefault="0082199E" w:rsidP="0082199E">
      <w:pPr>
        <w:ind w:firstLine="250"/>
        <w:jc w:val="both"/>
        <w:rPr>
          <w:rFonts w:ascii="Times New Roman" w:hAnsi="Times New Roman"/>
          <w:sz w:val="24"/>
          <w:szCs w:val="24"/>
        </w:rPr>
      </w:pPr>
      <w:r>
        <w:rPr>
          <w:rFonts w:ascii="Times New Roman" w:hAnsi="Times New Roman"/>
          <w:b/>
          <w:bCs/>
          <w:sz w:val="24"/>
          <w:szCs w:val="24"/>
        </w:rPr>
        <w:t>Zastosowanie się do interpretacji indywidualnej przed jej zmianą lub przed doręczeniem organowi podatkowemu odpisu prawomocnego orzeczenia sądu administracyjnego uchylającego interpretację indywidualną nie może szkodzić wnioskodawcy, jak również w przypadku nieuwzględnienia jej w rozstrzygnięciu sprawy podatkowej.</w:t>
      </w:r>
    </w:p>
    <w:p w:rsidR="0082199E" w:rsidRDefault="0082199E" w:rsidP="0082199E">
      <w:pPr>
        <w:ind w:firstLine="250"/>
        <w:jc w:val="both"/>
        <w:rPr>
          <w:rFonts w:ascii="Times New Roman" w:hAnsi="Times New Roman"/>
          <w:sz w:val="24"/>
          <w:szCs w:val="24"/>
        </w:rPr>
      </w:pPr>
      <w:r>
        <w:rPr>
          <w:rFonts w:ascii="Times New Roman" w:hAnsi="Times New Roman"/>
          <w:b/>
          <w:bCs/>
          <w:sz w:val="24"/>
          <w:szCs w:val="24"/>
        </w:rPr>
        <w:t xml:space="preserve">Niniejsza interpretacja, po usunięciu danych identyfikujących wnioskodawcę oraz inne podmioty wskazane w treści interpretacji, zostanie niezwłocznie zamieszczona w Biuletynie Informacji Publicznej. </w:t>
      </w:r>
    </w:p>
    <w:p w:rsidR="0082199E" w:rsidRDefault="0082199E" w:rsidP="0082199E">
      <w:pPr>
        <w:spacing w:before="240"/>
        <w:jc w:val="both"/>
        <w:rPr>
          <w:rFonts w:ascii="Times New Roman" w:hAnsi="Times New Roman"/>
          <w:sz w:val="24"/>
          <w:szCs w:val="24"/>
        </w:rPr>
      </w:pPr>
      <w:r>
        <w:rPr>
          <w:rFonts w:ascii="Times New Roman" w:hAnsi="Times New Roman"/>
          <w:sz w:val="24"/>
          <w:szCs w:val="24"/>
        </w:rPr>
        <w:t xml:space="preserve">Na niniejszą interpretację wnioskodawcy przysługuje prawo wniesienia skargi do Wojewódzkiego Sądu Administracyjnego w Poznaniu, w terminie 30 dni po upływie terminu określonego poniżej, za pośrednictwem Burmistrza Miasta Czarnków. </w:t>
      </w:r>
    </w:p>
    <w:p w:rsidR="0082199E" w:rsidRDefault="0082199E" w:rsidP="0082199E">
      <w:pPr>
        <w:jc w:val="both"/>
        <w:rPr>
          <w:rFonts w:ascii="Times New Roman" w:hAnsi="Times New Roman"/>
          <w:sz w:val="24"/>
          <w:szCs w:val="24"/>
        </w:rPr>
      </w:pPr>
      <w:r>
        <w:rPr>
          <w:rFonts w:ascii="Times New Roman" w:hAnsi="Times New Roman"/>
          <w:sz w:val="24"/>
          <w:szCs w:val="24"/>
        </w:rPr>
        <w:t>Skargę, o której mowa wyżej, można wnieść po uprzednim wezwaniu na piśmie Burmistrza Miasta Czarnków - w terminie 14 dni od dnia, w którym skarżący dowiedział się lub mógł się dowiedzieć o wydaniu niniejszej interpretacji - do usunięcia naruszenia prawa.</w:t>
      </w:r>
    </w:p>
    <w:p w:rsidR="0082199E" w:rsidRDefault="0082199E" w:rsidP="0082199E">
      <w:pPr>
        <w:ind w:firstLine="250"/>
        <w:jc w:val="both"/>
        <w:rPr>
          <w:rFonts w:ascii="Times New Roman" w:hAnsi="Times New Roman"/>
          <w:sz w:val="24"/>
          <w:szCs w:val="24"/>
        </w:rPr>
      </w:pPr>
    </w:p>
    <w:p w:rsidR="0082199E" w:rsidRDefault="0082199E" w:rsidP="0082199E">
      <w:pPr>
        <w:ind w:firstLine="250"/>
        <w:jc w:val="both"/>
        <w:rPr>
          <w:rFonts w:ascii="Times New Roman" w:hAnsi="Times New Roman"/>
          <w:sz w:val="24"/>
          <w:szCs w:val="24"/>
        </w:rPr>
      </w:pPr>
    </w:p>
    <w:p w:rsidR="0082199E" w:rsidRDefault="0082199E" w:rsidP="0082199E">
      <w:pPr>
        <w:ind w:firstLine="250"/>
        <w:jc w:val="both"/>
        <w:rPr>
          <w:rFonts w:ascii="Times New Roman" w:hAnsi="Times New Roman"/>
          <w:sz w:val="24"/>
          <w:szCs w:val="24"/>
        </w:rPr>
      </w:pPr>
      <w:bookmarkStart w:id="0" w:name="_GoBack"/>
      <w:bookmarkEnd w:id="0"/>
    </w:p>
    <w:p w:rsidR="0082199E" w:rsidRDefault="0082199E" w:rsidP="0082199E">
      <w:pPr>
        <w:ind w:firstLine="250"/>
        <w:jc w:val="both"/>
        <w:rPr>
          <w:rFonts w:ascii="Times New Roman" w:hAnsi="Times New Roman"/>
          <w:sz w:val="24"/>
          <w:szCs w:val="24"/>
        </w:rPr>
      </w:pPr>
    </w:p>
    <w:p w:rsidR="0082199E" w:rsidRDefault="0082199E" w:rsidP="0082199E">
      <w:pPr>
        <w:ind w:firstLine="250"/>
        <w:jc w:val="both"/>
        <w:rPr>
          <w:rFonts w:ascii="Times New Roman" w:hAnsi="Times New Roman"/>
          <w:sz w:val="24"/>
          <w:szCs w:val="24"/>
        </w:rPr>
      </w:pPr>
      <w:r>
        <w:rPr>
          <w:rFonts w:ascii="Times New Roman" w:hAnsi="Times New Roman"/>
          <w:sz w:val="24"/>
          <w:szCs w:val="24"/>
        </w:rPr>
        <w:t>__________</w:t>
      </w:r>
    </w:p>
    <w:p w:rsidR="00B56F93" w:rsidRDefault="0082199E" w:rsidP="0082199E">
      <w:pPr>
        <w:tabs>
          <w:tab w:val="left" w:pos="250"/>
        </w:tabs>
        <w:ind w:left="250" w:hanging="250"/>
        <w:jc w:val="both"/>
      </w:pPr>
      <w:r>
        <w:rPr>
          <w:rFonts w:ascii="Times New Roman" w:hAnsi="Times New Roman"/>
          <w:sz w:val="24"/>
          <w:szCs w:val="24"/>
          <w:vertAlign w:val="superscript"/>
        </w:rPr>
        <w:t>1</w:t>
      </w:r>
      <w:r>
        <w:rPr>
          <w:rFonts w:ascii="Times New Roman" w:hAnsi="Times New Roman"/>
          <w:sz w:val="24"/>
          <w:szCs w:val="24"/>
        </w:rPr>
        <w:tab/>
      </w:r>
      <w:r>
        <w:rPr>
          <w:rFonts w:ascii="Times New Roman" w:hAnsi="Times New Roman"/>
        </w:rPr>
        <w:t>Niniejsza ustawa dokonuje w zakresie swojej regulacji wdrożenia następujących dyrektyw Wspólnot Europejskich: 1) dyrektywy 92/106/EWG z dnia 7 grudnia 1992 r. w sprawie ustanowienia wspólnych zasad dla niektórych typów transportu kombinowanego towarów między państwami członkowskimi (Dz. Urz. WE L 368 z 17.12.1992), 2) dyrektywy 1999/62/WE Parlamentu Europejskiego i Rady z dnia 17 czerwca 1999 r. w sprawie pobierania opłat za użytkowanie niektórych typów infrastruktury przez pojazdy ciężarowe (Dz. Urz. WE L 187 z 20.07.1999, s. 42). Dane dotyczące ogłoszenia aktów prawa Unii Europejskiej, zamieszczone w niniejszej ustawie - z dniem uzyskania przez Rzeczpospolitą Polską członkostwa w Unii Europejskiej - dotyczą ogłoszenia tych aktów w Dzienniku Urzędowym Unii Europejskiej - wydanie specjalne.</w:t>
      </w:r>
    </w:p>
    <w:sectPr w:rsidR="00B56F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9E" w:rsidRDefault="0082199E" w:rsidP="0082199E">
      <w:r>
        <w:separator/>
      </w:r>
    </w:p>
  </w:endnote>
  <w:endnote w:type="continuationSeparator" w:id="0">
    <w:p w:rsidR="0082199E" w:rsidRDefault="0082199E" w:rsidP="0082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9E" w:rsidRDefault="0082199E" w:rsidP="0082199E">
      <w:r>
        <w:separator/>
      </w:r>
    </w:p>
  </w:footnote>
  <w:footnote w:type="continuationSeparator" w:id="0">
    <w:p w:rsidR="0082199E" w:rsidRDefault="0082199E" w:rsidP="0082199E">
      <w:r>
        <w:continuationSeparator/>
      </w:r>
    </w:p>
  </w:footnote>
  <w:footnote w:id="1">
    <w:p w:rsidR="0082199E" w:rsidRDefault="0082199E" w:rsidP="0082199E">
      <w:pPr>
        <w:pStyle w:val="HTML-wstpniesformatowany"/>
        <w:rPr>
          <w:rFonts w:ascii="Times New Roman" w:hAnsi="Times New Roman"/>
          <w:sz w:val="16"/>
        </w:rPr>
      </w:pPr>
      <w:r>
        <w:rPr>
          <w:rStyle w:val="Odwoanieprzypisudolnego"/>
        </w:rPr>
        <w:footnoteRef/>
      </w:r>
      <w:r>
        <w:t xml:space="preserve"> </w:t>
      </w:r>
      <w:r>
        <w:rPr>
          <w:rFonts w:ascii="Times New Roman" w:hAnsi="Times New Roman"/>
          <w:sz w:val="16"/>
        </w:rPr>
        <w:t>Niniejsza ustawa dokonuje w zakresie swojej regulacji wdrożenia następujących dyrektyw Wspólnot Europejskich: 1) dyrektywy 92/106/EWG z dnia 7 grudnia 1992 r. w sprawie ustanowienia wspólnych zasad dla niektórych typów transportu kombinowanego towarów między państwami członkowskimi (Dz. Urz. WE L 368 z 17.12.1992), 2) dyrektywy 1999/62/WE z dnia 17 czerwca 1999 r. w sprawie pobierania opłat za użytkowanie niektórych typów infrastruktury przez pojazdy ciężarowe (Dz. Urz. WE L 187 z 20.07.1999).Dane dotyczące ogłoszenia aktów prawa Unii Europejskiej, zamieszczone w niniejszej ustawie – z dniem uzyskania przez Rzeczpospolitą Polską członkostwa w Unii Europejskiej – dotyczą ogłoszenia tych aktów w Dzienniku Urzędowym Unii Europejskiej – wydanie specjalne; tekst jedn. Dz. U. z 2002 r. Nr 9, poz. 84 ze zm.).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E7"/>
    <w:rsid w:val="0082199E"/>
    <w:rsid w:val="009C06E7"/>
    <w:rsid w:val="00B5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99E"/>
    <w:pPr>
      <w:widowControl w:val="0"/>
      <w:autoSpaceDE w:val="0"/>
      <w:autoSpaceDN w:val="0"/>
      <w:adjustRightInd w:val="0"/>
      <w:spacing w:after="0" w:line="240" w:lineRule="auto"/>
    </w:pPr>
    <w:rPr>
      <w:rFonts w:ascii="A" w:eastAsia="Times New Roman"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21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rPr>
  </w:style>
  <w:style w:type="character" w:customStyle="1" w:styleId="HTML-wstpniesformatowanyZnak">
    <w:name w:val="HTML - wstępnie sformatowany Znak"/>
    <w:basedOn w:val="Domylnaczcionkaakapitu"/>
    <w:link w:val="HTML-wstpniesformatowany"/>
    <w:semiHidden/>
    <w:rsid w:val="0082199E"/>
    <w:rPr>
      <w:rFonts w:ascii="Courier New" w:eastAsia="Times New Roman" w:hAnsi="Courier New" w:cs="Courier New"/>
      <w:sz w:val="20"/>
      <w:szCs w:val="20"/>
      <w:lang w:eastAsia="pl-PL"/>
    </w:rPr>
  </w:style>
  <w:style w:type="character" w:styleId="Odwoanieprzypisudolnego">
    <w:name w:val="footnote reference"/>
    <w:semiHidden/>
    <w:unhideWhenUsed/>
    <w:rsid w:val="0082199E"/>
    <w:rPr>
      <w:vertAlign w:val="superscript"/>
    </w:rPr>
  </w:style>
  <w:style w:type="character" w:styleId="Pogrubienie">
    <w:name w:val="Strong"/>
    <w:basedOn w:val="Domylnaczcionkaakapitu"/>
    <w:uiPriority w:val="22"/>
    <w:qFormat/>
    <w:rsid w:val="008219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99E"/>
    <w:pPr>
      <w:widowControl w:val="0"/>
      <w:autoSpaceDE w:val="0"/>
      <w:autoSpaceDN w:val="0"/>
      <w:adjustRightInd w:val="0"/>
      <w:spacing w:after="0" w:line="240" w:lineRule="auto"/>
    </w:pPr>
    <w:rPr>
      <w:rFonts w:ascii="A" w:eastAsia="Times New Roman"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21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rPr>
  </w:style>
  <w:style w:type="character" w:customStyle="1" w:styleId="HTML-wstpniesformatowanyZnak">
    <w:name w:val="HTML - wstępnie sformatowany Znak"/>
    <w:basedOn w:val="Domylnaczcionkaakapitu"/>
    <w:link w:val="HTML-wstpniesformatowany"/>
    <w:semiHidden/>
    <w:rsid w:val="0082199E"/>
    <w:rPr>
      <w:rFonts w:ascii="Courier New" w:eastAsia="Times New Roman" w:hAnsi="Courier New" w:cs="Courier New"/>
      <w:sz w:val="20"/>
      <w:szCs w:val="20"/>
      <w:lang w:eastAsia="pl-PL"/>
    </w:rPr>
  </w:style>
  <w:style w:type="character" w:styleId="Odwoanieprzypisudolnego">
    <w:name w:val="footnote reference"/>
    <w:semiHidden/>
    <w:unhideWhenUsed/>
    <w:rsid w:val="0082199E"/>
    <w:rPr>
      <w:vertAlign w:val="superscript"/>
    </w:rPr>
  </w:style>
  <w:style w:type="character" w:styleId="Pogrubienie">
    <w:name w:val="Strong"/>
    <w:basedOn w:val="Domylnaczcionkaakapitu"/>
    <w:uiPriority w:val="22"/>
    <w:qFormat/>
    <w:rsid w:val="00821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E9D65F28.dotm</Template>
  <TotalTime>2</TotalTime>
  <Pages>3</Pages>
  <Words>1280</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 Grochowska</dc:creator>
  <cp:keywords/>
  <dc:description/>
  <cp:lastModifiedBy>Emila Grochowska</cp:lastModifiedBy>
  <cp:revision>2</cp:revision>
  <dcterms:created xsi:type="dcterms:W3CDTF">2016-03-07T14:36:00Z</dcterms:created>
  <dcterms:modified xsi:type="dcterms:W3CDTF">2016-03-07T14:38:00Z</dcterms:modified>
</cp:coreProperties>
</file>