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1922E2" w14:paraId="1715C11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05D8708" w14:textId="77777777" w:rsidR="00A77B3E" w:rsidRDefault="00B07EC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3F120790" w14:textId="77777777" w:rsidR="00A77B3E" w:rsidRDefault="00A8155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1B8E7FF" w14:textId="77777777" w:rsidR="00A77B3E" w:rsidRDefault="00B07EC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 sierpnia 2019 r.</w:t>
            </w:r>
          </w:p>
          <w:p w14:paraId="1DA8DC75" w14:textId="77777777" w:rsidR="00A77B3E" w:rsidRDefault="00B07EC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721E3E88" w14:textId="77777777" w:rsidR="00A77B3E" w:rsidRDefault="00A8155A">
            <w:pPr>
              <w:ind w:left="5669"/>
              <w:jc w:val="left"/>
              <w:rPr>
                <w:sz w:val="20"/>
              </w:rPr>
            </w:pPr>
          </w:p>
          <w:p w14:paraId="0D51D2EF" w14:textId="77777777" w:rsidR="00A77B3E" w:rsidRDefault="00A8155A">
            <w:pPr>
              <w:ind w:left="5669"/>
              <w:jc w:val="left"/>
              <w:rPr>
                <w:sz w:val="20"/>
              </w:rPr>
            </w:pPr>
          </w:p>
        </w:tc>
      </w:tr>
    </w:tbl>
    <w:p w14:paraId="389E4868" w14:textId="77777777" w:rsidR="00A77B3E" w:rsidRDefault="00A8155A">
      <w:bookmarkStart w:id="0" w:name="_GoBack"/>
      <w:bookmarkEnd w:id="0"/>
    </w:p>
    <w:p w14:paraId="2B4C9393" w14:textId="77777777" w:rsidR="00A77B3E" w:rsidRDefault="00B07EC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Czarnków</w:t>
      </w:r>
    </w:p>
    <w:p w14:paraId="33C6476B" w14:textId="36A58349" w:rsidR="00A77B3E" w:rsidRDefault="00B07EC9">
      <w:pPr>
        <w:spacing w:before="280" w:after="280"/>
        <w:jc w:val="center"/>
        <w:rPr>
          <w:b/>
          <w:caps/>
        </w:rPr>
      </w:pPr>
      <w:r>
        <w:t xml:space="preserve">z dnia </w:t>
      </w:r>
      <w:r w:rsidR="00A8155A">
        <w:t xml:space="preserve">29 sierpnia </w:t>
      </w:r>
      <w:r>
        <w:t>2019 r.</w:t>
      </w:r>
    </w:p>
    <w:p w14:paraId="58AEA59E" w14:textId="77777777" w:rsidR="00A77B3E" w:rsidRDefault="00B07EC9">
      <w:pPr>
        <w:keepNext/>
        <w:spacing w:after="480"/>
        <w:jc w:val="center"/>
      </w:pPr>
      <w:r>
        <w:rPr>
          <w:b/>
        </w:rPr>
        <w:t>w sprawie regulaminu dotyczącego niektórych zasad wynagradzania nauczycieli w szkołach i przedszkolach prowadzonych przez Gminę Miasta Czarnków</w:t>
      </w:r>
    </w:p>
    <w:p w14:paraId="3F147EC2" w14:textId="77777777" w:rsidR="00A77B3E" w:rsidRDefault="00B07EC9">
      <w:pPr>
        <w:keepLines/>
        <w:spacing w:before="120" w:after="120"/>
        <w:ind w:firstLine="227"/>
      </w:pPr>
      <w:r>
        <w:t>Na podstawie art.30 ust. 6 ustawy z dnia 26 stycznia 1982 r. Karta Nauczyciela (t.j. Dz. U. z 2018 r. poz. 967, z 2017 r. poz. 2203, z 2018 r. poz. 2245 oraz z 2019 r. poz. 730 i 1287) uchwala się, co następuje:</w:t>
      </w:r>
    </w:p>
    <w:p w14:paraId="104FA295" w14:textId="77777777" w:rsidR="00A77B3E" w:rsidRDefault="00B07EC9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14:paraId="5A1CFA41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Regulamin dotyczący niektórych zasad wynagradzania nauczycieli w szkołach i przedszkolach prowadzonych przez Gminę Miasta Czarnków, zwany dalej Regulaminem określa:</w:t>
      </w:r>
    </w:p>
    <w:p w14:paraId="24B97E6F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stawek dodatków: za wysługę lat, motywacyjnego, funkcyjnego, w tym z tytułu sprawowania funkcji wychowawcy klasy, oraz za warunki pracy;</w:t>
      </w:r>
    </w:p>
    <w:p w14:paraId="7B343499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szczegółowe warunki obliczania i wypłacania  wynagrodzenia za godziny ponadwymiarowe i godziny doraźnych zastępstw;</w:t>
      </w:r>
    </w:p>
    <w:p w14:paraId="1CD2CE57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warunki wypłacania nagród i innych świadczeń wynikających ze stosunku pracy.</w:t>
      </w:r>
    </w:p>
    <w:p w14:paraId="5E42A3B7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regulaminie jest mowa o:</w:t>
      </w:r>
    </w:p>
    <w:p w14:paraId="3D8F8197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szkole, przedszkolu, placówce- rozumie się przez to szkołę lub przedszkole prowadzone przez Gminę Miasta Czarnków;</w:t>
      </w:r>
    </w:p>
    <w:p w14:paraId="456B5D17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nauczycielach - rozumie się przez to nauczycieli zatrudnionych przez danego pracodawcę;</w:t>
      </w:r>
    </w:p>
    <w:p w14:paraId="42DF1006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rozporządzeniu- rozumie się obowiązujące rozporządzenie Ministra Edukacji Narodowej w sprawie wysokości minimalnych stawek wynagrodzenia zasadniczego nauczycieli, ogólnych warunków przyznawania dodatków do wynagrodzenia  oraz wynagradzania za pracę w dniu wolnym od pracy.</w:t>
      </w:r>
    </w:p>
    <w:p w14:paraId="027699C3" w14:textId="77777777" w:rsidR="00A77B3E" w:rsidRDefault="00B07EC9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stawek dodatków: za wysługę lat, motywacyjnego, funkcyjnego, w tym z tytułu sprawowania funkcji wychowawcy klasy, oraz za warunki pracy</w:t>
      </w:r>
    </w:p>
    <w:p w14:paraId="1AF590AE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Nauczycielowi przysługuje dodatek za wysługę lat w wysokości określonej w Karcie Nauczyciela i na zasadach określonych w rozporządzeniu. </w:t>
      </w:r>
    </w:p>
    <w:p w14:paraId="59BC1796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Dodatek za wysługę lat przysługuje za dni, za które nauczyciel otrzymuje wynagrodzenie oraz za dni nieobecności w pracy z powodu niezdolności do pracy wskutek choroby lub konieczności osobistego sprawowania opieki nad dzieckiem lub chorym członkiem rodziny, za które nauczyciel otrzymuje wynagrodzenie lub zasiłek z ubezpieczenia społecznego.</w:t>
      </w:r>
    </w:p>
    <w:p w14:paraId="1FE1C510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Przy ustalaniu wysokości dodatku motywacyjnego dla nauczycieli uwzględnia się następujące warunki:</w:t>
      </w:r>
    </w:p>
    <w:p w14:paraId="3351BC0C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efektywnych i nowatorskich działań dydaktycznych oraz aktywizujących metod nauczania</w:t>
      </w:r>
      <w:r>
        <w:rPr>
          <w:color w:val="000000"/>
          <w:u w:color="000000"/>
        </w:rPr>
        <w:br/>
        <w:t>i wychowania sprzyjających indywidualnemu rozwojowi ucznia i podnoszeniu jakości pracy szkoły;</w:t>
      </w:r>
    </w:p>
    <w:p w14:paraId="61A7EBE7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udokumentowane osiągnięcia uczniów, potwierdzone wynikami egzaminów zewnętrznych, udziałem w konkursach, turniejach i olimpiadach;</w:t>
      </w:r>
    </w:p>
    <w:p w14:paraId="0211EB11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 w pracach zespołów zadaniowych, komisjach egzaminacyjnych;</w:t>
      </w:r>
    </w:p>
    <w:p w14:paraId="04739F1B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rozwiązywanie problemów wychowawczych uczniów;</w:t>
      </w:r>
    </w:p>
    <w:p w14:paraId="62AB7D90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efektywne działania na rzecz uczniów o specjalnych potrzebach edukacyjnych, potrzebujących opieki;</w:t>
      </w:r>
    </w:p>
    <w:p w14:paraId="67FCFB55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działań profilaktycznych oraz przeciwdziałanie agresji, patologiom i uzależnieniom wśród uczniów;</w:t>
      </w:r>
    </w:p>
    <w:p w14:paraId="6F42CA5C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imprez i uroczystości szkolnych;</w:t>
      </w:r>
    </w:p>
    <w:p w14:paraId="705A2D7F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opieka nad samorządem szkolnym i innymi organizacjami uczniowskimi, działającymi w szkole;</w:t>
      </w:r>
    </w:p>
    <w:p w14:paraId="4E904790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podejmowanie inicjatyw i działań istotnie zwiększających udział i rolę szkoły w środowisku lokalnym.</w:t>
      </w:r>
    </w:p>
    <w:p w14:paraId="101644D8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ustalaniu dodatku motywacyjnego nauczycielowi, któremu powierzono stanowisko dyrektora szkoły poza warunkami, o których mowa w ust. 1 uwzględnia się następujące warunki:</w:t>
      </w:r>
    </w:p>
    <w:p w14:paraId="415BCAAA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tworzenie warunków do realizacji zadań dydaktycznych, wychowawczych i opiekuńczych szkoły, prawidłowe organizowanie pracy, opracowywanie dokumentacji, wyposażenie w środki dydaktyczne;</w:t>
      </w:r>
    </w:p>
    <w:p w14:paraId="797ABE6F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prawidłowa gospodarka finansowa, pozyskiwanie środków pozabudżetowych;</w:t>
      </w:r>
    </w:p>
    <w:p w14:paraId="74E8B0FE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racjonalnej polityki kadrowej gwarantującej prawidłową realizację zadań szkoły w tym sprawowanie nadzoru pedagogicznego, opieka nad nauczycielami rozpoczynającymi pracę w zawodzie, zachęcanie do innowacji, eksperymentów, motywowanie do doskonalenia zawodowego, zapewnienie realizacji zaleceń i wniosków organów nadzoru pedagogicznego;</w:t>
      </w:r>
    </w:p>
    <w:p w14:paraId="1DDAE61A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prawidłowe organizowanie działalności administracyjnej szkoły;</w:t>
      </w:r>
    </w:p>
    <w:p w14:paraId="71BA4796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prawidłowe zarządzaniem mieniem szkoły;</w:t>
      </w:r>
    </w:p>
    <w:p w14:paraId="12594506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dbałość o wizerunek szkoły w środowisku;</w:t>
      </w:r>
    </w:p>
    <w:p w14:paraId="05B9B0A7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skuteczne zarządzanie szkołą, zapewniające ciągły rozwój i doskonalenie jakości i efektywności jej pracy;</w:t>
      </w:r>
    </w:p>
    <w:p w14:paraId="3FBAB65B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organami szkoły oraz organizacjami i instytucjami mającymi na celu wspomaganie działalności statutowej szkoły.</w:t>
      </w:r>
    </w:p>
    <w:p w14:paraId="78F2AA08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Dodatek motywacyjny przyznaje się nauczycielowi na czas określony nie dłuższy niż 6 miesięcy, a jego wysokość może zawierać się w przedziale od 1% do 50% wynagrodzenia zasadniczego nauczyciela.</w:t>
      </w:r>
    </w:p>
    <w:p w14:paraId="1071E11B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Dodatek motywacyjny dla nauczycieli w każdej ze szkół przyznaje dyrektor, a dyrektorom szkół dodatek motywacyjny przyznaje Burmistrz. </w:t>
      </w:r>
    </w:p>
    <w:p w14:paraId="7BD5875F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Nauczycielowi uzupełniającemu etat w innej szkole dodatek motywacyjny przyznaje dyrektor szkoły macierzystej w uzgodnieniu z dyrektorem szkoły, w której nauczyciel uzupełnia etat.</w:t>
      </w:r>
    </w:p>
    <w:p w14:paraId="49B73B0D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Przyznanie dodatku motywacyjnego odbywa się w ramach środków finansowych wyodrębnionych na ten cel w planie finansowym szkoły, z uwzględnieniem stopni awansu zawodowego nauczycieli. Wysokość środków finansowych przeznaczonych na dodatki motywacyjnej, w przeliczeniu na jeden etat odnosi się procentowo w stosunku do wynagrodzenia zasadniczego:</w:t>
      </w:r>
    </w:p>
    <w:p w14:paraId="15613F29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5% dla nauczycieli;</w:t>
      </w:r>
    </w:p>
    <w:p w14:paraId="4EC0CEC7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35% dla nauczycieli, którym powierzono stanowisko wicedyrektora;</w:t>
      </w:r>
    </w:p>
    <w:p w14:paraId="55C97BB0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50% dla nauczycieli, którym powierzono stanowisko dyrektora.</w:t>
      </w:r>
    </w:p>
    <w:p w14:paraId="2D9AEF26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O wysokości dodatku funkcyjnego dla dyrektorów lub wicedyrektorów decyduje: </w:t>
      </w:r>
    </w:p>
    <w:p w14:paraId="2BD540F9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wielkość szkoły, przedszkola;</w:t>
      </w:r>
    </w:p>
    <w:p w14:paraId="2F2A64D4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struktura organizacyjna jednostki;</w:t>
      </w:r>
    </w:p>
    <w:p w14:paraId="086AE0BA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złożoność zadań wynikających z funkcji kierowniczej;</w:t>
      </w:r>
    </w:p>
    <w:p w14:paraId="073BEC88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stanowisk kierowniczych w szkole;</w:t>
      </w:r>
    </w:p>
    <w:p w14:paraId="20EDD049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oddziałów;</w:t>
      </w:r>
    </w:p>
    <w:p w14:paraId="5E5C40CE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liczba pracowników pedagogicznych i administracyjnych;</w:t>
      </w:r>
    </w:p>
    <w:p w14:paraId="142F1932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złożoność zadań.</w:t>
      </w:r>
    </w:p>
    <w:p w14:paraId="6DE65E64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t>1. </w:t>
      </w:r>
      <w:r>
        <w:rPr>
          <w:color w:val="000000"/>
          <w:u w:color="000000"/>
        </w:rPr>
        <w:t>Granice stawek dodatku dla dyrektorów i wicedyrektorów oraz wysokość  dodatku funkcyjnego dla pozostałych stanowisk określonych rozporządzeniu określają poniższe tabele: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6369"/>
        <w:gridCol w:w="1469"/>
        <w:gridCol w:w="1708"/>
      </w:tblGrid>
      <w:tr w:rsidR="001922E2" w14:paraId="08D0F462" w14:textId="77777777">
        <w:trPr>
          <w:trHeight w:val="315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9C00A41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756370F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618AECF3" w14:textId="77777777" w:rsidR="001922E2" w:rsidRDefault="00B07EC9">
            <w:pPr>
              <w:jc w:val="center"/>
            </w:pPr>
            <w:r>
              <w:rPr>
                <w:b/>
                <w:sz w:val="24"/>
              </w:rPr>
              <w:t>Stanowisko: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B11074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Minimalna</w:t>
            </w:r>
            <w:r>
              <w:rPr>
                <w:b/>
                <w:color w:val="000000"/>
                <w:u w:color="000000"/>
              </w:rPr>
              <w:br/>
              <w:t xml:space="preserve"> i maksymalna stawka dodatku (zł)</w:t>
            </w:r>
          </w:p>
        </w:tc>
      </w:tr>
      <w:tr w:rsidR="001922E2" w14:paraId="55760CD9" w14:textId="77777777">
        <w:trPr>
          <w:trHeight w:val="432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3BF698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6FF864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6898DFA1" w14:textId="77777777" w:rsidR="001922E2" w:rsidRDefault="00B07EC9">
            <w:pPr>
              <w:jc w:val="center"/>
            </w:pPr>
            <w:r>
              <w:rPr>
                <w:b/>
              </w:rPr>
              <w:t>PRZEDSZKOLA:</w:t>
            </w:r>
          </w:p>
        </w:tc>
        <w:tc>
          <w:tcPr>
            <w:tcW w:w="33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BC81262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</w:tc>
      </w:tr>
      <w:tr w:rsidR="001922E2" w14:paraId="3699F0ED" w14:textId="77777777">
        <w:trPr>
          <w:trHeight w:val="576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CD7B31B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ED737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 xml:space="preserve">dyrektor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9352F6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300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E29C7B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1500</w:t>
            </w:r>
          </w:p>
        </w:tc>
      </w:tr>
      <w:tr w:rsidR="001922E2" w14:paraId="1F5D318D" w14:textId="77777777">
        <w:trPr>
          <w:trHeight w:val="288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BC908F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029D55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25AA87C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150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FE7862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1000</w:t>
            </w:r>
          </w:p>
        </w:tc>
      </w:tr>
      <w:tr w:rsidR="001922E2" w14:paraId="1F7FE762" w14:textId="77777777">
        <w:trPr>
          <w:trHeight w:val="288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42C1EB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D162A16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56598667" w14:textId="77777777" w:rsidR="001922E2" w:rsidRDefault="00B07EC9">
            <w:pPr>
              <w:jc w:val="center"/>
            </w:pPr>
            <w:r>
              <w:rPr>
                <w:b/>
              </w:rPr>
              <w:t>SZKOŁY: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385F35C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D5F761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</w:tc>
      </w:tr>
      <w:tr w:rsidR="001922E2" w14:paraId="2F0BB3D2" w14:textId="77777777">
        <w:trPr>
          <w:trHeight w:val="576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8DC5559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7C2FA66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dyrektor szkoły liczącej 8 oddziałów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0CBDF8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300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E0C5A9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1000</w:t>
            </w:r>
          </w:p>
        </w:tc>
      </w:tr>
      <w:tr w:rsidR="001922E2" w14:paraId="20BDA257" w14:textId="77777777">
        <w:trPr>
          <w:trHeight w:val="576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EFE4771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C07B72F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dyrektor szkoły liczącej od 9 do 16 oddziałów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0B46BD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300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EA59122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2100</w:t>
            </w:r>
          </w:p>
        </w:tc>
      </w:tr>
      <w:tr w:rsidR="001922E2" w14:paraId="72E54B70" w14:textId="77777777">
        <w:trPr>
          <w:trHeight w:val="576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09A70B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B5A16C1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dyrektor szkoły liczącej  17 oddziałów i więcej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A27C813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450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335233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3000</w:t>
            </w:r>
          </w:p>
        </w:tc>
      </w:tr>
      <w:tr w:rsidR="001922E2" w14:paraId="6CCD1720" w14:textId="77777777">
        <w:trPr>
          <w:trHeight w:val="288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18BEA84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FB0BA45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49E6CD9F" w14:textId="77777777" w:rsidR="001922E2" w:rsidRDefault="00B07EC9">
            <w:pPr>
              <w:jc w:val="left"/>
            </w:pPr>
            <w:r>
              <w:t>wicedyrektor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6B1D76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300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6560365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1500</w:t>
            </w:r>
          </w:p>
        </w:tc>
      </w:tr>
      <w:tr w:rsidR="001922E2" w14:paraId="128626AF" w14:textId="77777777">
        <w:trPr>
          <w:trHeight w:val="288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2FD13E0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6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F0258F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44DDA6BB" w14:textId="77777777" w:rsidR="001922E2" w:rsidRDefault="00B07EC9">
            <w:pPr>
              <w:jc w:val="left"/>
            </w:pPr>
            <w:r>
              <w:t>kierownik świetlicy szkolnej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6522E3A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150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9C415D4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t>1000</w:t>
            </w:r>
          </w:p>
        </w:tc>
      </w:tr>
    </w:tbl>
    <w:p w14:paraId="3F86B1AF" w14:textId="77777777" w:rsidR="00A77B3E" w:rsidRDefault="00B07EC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Dodatek funkcyjny- pozostałe stanowiska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192"/>
        <w:gridCol w:w="4390"/>
      </w:tblGrid>
      <w:tr w:rsidR="001922E2" w14:paraId="489514B6" w14:textId="77777777"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5B6390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74EC0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0164E183" w14:textId="77777777" w:rsidR="001922E2" w:rsidRDefault="00B07EC9">
            <w:pPr>
              <w:jc w:val="left"/>
            </w:pPr>
            <w:r>
              <w:rPr>
                <w:b/>
                <w:sz w:val="24"/>
              </w:rPr>
              <w:t>Stanowisko: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2C1631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345C00BD" w14:textId="77777777" w:rsidR="001922E2" w:rsidRDefault="00B07EC9">
            <w:pPr>
              <w:jc w:val="left"/>
            </w:pPr>
            <w:r>
              <w:rPr>
                <w:b/>
              </w:rPr>
              <w:t>Wysokość dodatku funkcyjnego (zł)</w:t>
            </w:r>
          </w:p>
        </w:tc>
      </w:tr>
      <w:tr w:rsidR="001922E2" w14:paraId="632A7E46" w14:textId="77777777"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48553C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63FAA920" w14:textId="77777777" w:rsidR="001922E2" w:rsidRDefault="00B07EC9">
            <w:pPr>
              <w:jc w:val="left"/>
            </w:pPr>
            <w:r>
              <w:rPr>
                <w:b/>
              </w:rPr>
              <w:t>1</w:t>
            </w:r>
          </w:p>
        </w:tc>
        <w:tc>
          <w:tcPr>
            <w:tcW w:w="5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711A9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35AD3C7D" w14:textId="77777777" w:rsidR="001922E2" w:rsidRDefault="00B07EC9">
            <w:pPr>
              <w:jc w:val="left"/>
            </w:pPr>
            <w:r>
              <w:t>wychowawca klasy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F654CF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72207B63" w14:textId="77777777" w:rsidR="001922E2" w:rsidRDefault="00B07EC9">
            <w:pPr>
              <w:jc w:val="center"/>
            </w:pPr>
            <w:r>
              <w:t>300</w:t>
            </w:r>
          </w:p>
        </w:tc>
      </w:tr>
      <w:tr w:rsidR="001922E2" w14:paraId="22B9A8E7" w14:textId="77777777"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B2043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2751AC91" w14:textId="77777777" w:rsidR="001922E2" w:rsidRDefault="00B07EC9">
            <w:pPr>
              <w:jc w:val="left"/>
            </w:pPr>
            <w:r>
              <w:rPr>
                <w:b/>
              </w:rPr>
              <w:t>2</w:t>
            </w:r>
          </w:p>
        </w:tc>
        <w:tc>
          <w:tcPr>
            <w:tcW w:w="5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604D4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1603FDCD" w14:textId="77777777" w:rsidR="001922E2" w:rsidRDefault="00B07EC9">
            <w:pPr>
              <w:jc w:val="left"/>
            </w:pPr>
            <w:r>
              <w:t>nauczyciel opiekujący się oddziałem przedszkolnym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2C7192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6E0DCE8B" w14:textId="77777777" w:rsidR="001922E2" w:rsidRDefault="00B07EC9">
            <w:pPr>
              <w:jc w:val="center"/>
            </w:pPr>
            <w:r>
              <w:t>85</w:t>
            </w:r>
          </w:p>
        </w:tc>
      </w:tr>
      <w:tr w:rsidR="001922E2" w14:paraId="74F4F516" w14:textId="77777777"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169E1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3097ACEA" w14:textId="77777777" w:rsidR="001922E2" w:rsidRDefault="00B07EC9">
            <w:pPr>
              <w:jc w:val="left"/>
            </w:pPr>
            <w:r>
              <w:rPr>
                <w:b/>
              </w:rPr>
              <w:t>3</w:t>
            </w:r>
          </w:p>
        </w:tc>
        <w:tc>
          <w:tcPr>
            <w:tcW w:w="5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14E1F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09AECF2F" w14:textId="77777777" w:rsidR="001922E2" w:rsidRDefault="00B07EC9">
            <w:pPr>
              <w:jc w:val="left"/>
            </w:pPr>
            <w:r>
              <w:t>doradca metodyczny/nauczyciel konsultant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F0256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7C1962EC" w14:textId="77777777" w:rsidR="001922E2" w:rsidRDefault="00B07EC9">
            <w:pPr>
              <w:jc w:val="center"/>
            </w:pPr>
            <w:r>
              <w:t>400</w:t>
            </w:r>
          </w:p>
        </w:tc>
      </w:tr>
      <w:tr w:rsidR="001922E2" w14:paraId="1853C373" w14:textId="77777777"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6B48D9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52D69069" w14:textId="77777777" w:rsidR="001922E2" w:rsidRDefault="00B07EC9">
            <w:pPr>
              <w:jc w:val="left"/>
            </w:pPr>
            <w:r>
              <w:rPr>
                <w:b/>
              </w:rPr>
              <w:t>4</w:t>
            </w:r>
          </w:p>
        </w:tc>
        <w:tc>
          <w:tcPr>
            <w:tcW w:w="5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EF56C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17C9EB95" w14:textId="77777777" w:rsidR="001922E2" w:rsidRDefault="00B07EC9">
            <w:pPr>
              <w:jc w:val="left"/>
            </w:pPr>
            <w:r>
              <w:t>opiekun stażu</w:t>
            </w:r>
          </w:p>
        </w:tc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F6136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3E21234B" w14:textId="77777777" w:rsidR="001922E2" w:rsidRDefault="00B07EC9">
            <w:pPr>
              <w:jc w:val="center"/>
            </w:pPr>
            <w:r>
              <w:t>80</w:t>
            </w:r>
          </w:p>
        </w:tc>
      </w:tr>
    </w:tbl>
    <w:p w14:paraId="607DC607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Dodatek funkcyjny przysługuje nauczycielowi oddzielnie za każdą sprawowaną funkcję i zajmowane stanowisko.</w:t>
      </w:r>
    </w:p>
    <w:p w14:paraId="5422DDAC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Dodatki funkcyjne  za wychowawstwo oraz za pełnienie funkcji opiekuna stażu przysługują w pełnej wysokości również nauczycielowi zatrudnionemu w niepełnym wymiarze godzin.</w:t>
      </w:r>
    </w:p>
    <w:p w14:paraId="589EF53C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Dodatek funkcyjny przysługuje również nauczycielom, którym powierzono obowiązki kierownicze w zastępstwie. </w:t>
      </w:r>
    </w:p>
    <w:p w14:paraId="6532F242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Dodatek funkcyjny nie przysługuje w okresie nieusprawiedliwionej nieobecności w pracy, </w:t>
      </w:r>
      <w:r>
        <w:rPr>
          <w:color w:val="000000"/>
          <w:u w:color="000000"/>
        </w:rPr>
        <w:br/>
        <w:t>w okresach za które nie przysługuje wynagrodzenie zasadnicze oraz od pierwszego dnia miesiąca następującego po miesiącu, w którym nauczyciel zaprzestał pełnienia stanowiska, funkcji uprawniającej do tego dodatku, a jeśli zaprzestanie tego pełnienia nastąpiło pierwszego dnia miesiąca od tego dnia.</w:t>
      </w:r>
    </w:p>
    <w:p w14:paraId="6E84CAA8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Nauczycielom wykonującym pracę w trudnych i uciążliwych warunkach określonych </w:t>
      </w:r>
      <w:r>
        <w:rPr>
          <w:color w:val="000000"/>
          <w:u w:color="000000"/>
        </w:rPr>
        <w:br/>
        <w:t>w rozporządzenia przysługuje z tego tytułu dodatek.</w:t>
      </w:r>
    </w:p>
    <w:p w14:paraId="775F7275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Dodatek za warunki pracy przysługuje za faktycznie przepracowane godziny i w wysokości proporcjonalnej do liczby przepracowanych godzin w stosunku do etatowego pensum.</w:t>
      </w:r>
    </w:p>
    <w:p w14:paraId="23B6F435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dodatku o którym mowa w ust. 1 wynosi 10 % stawki godzinowej za każdą przepracowaną w tych warunkach godzinę nauczania.</w:t>
      </w:r>
    </w:p>
    <w:p w14:paraId="3CC358EA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Dodatek wypłaca się z dołu.</w:t>
      </w:r>
    </w:p>
    <w:p w14:paraId="2D36E3AC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zbiegu prawa do dwóch dodatków - wypłaca się wynagrodzenie wynikające z obu dodatków.</w:t>
      </w:r>
    </w:p>
    <w:p w14:paraId="2DC90F15" w14:textId="77777777" w:rsidR="00A77B3E" w:rsidRDefault="00B07EC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Szczegółowe warunki obliczania i wypłacania  wynagrodzenia za godziny ponadwymiarowe i godziny doraźnych zastępstw.</w:t>
      </w:r>
    </w:p>
    <w:p w14:paraId="15546B0E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Dla ustalenia wynagrodzenia za godziny ponadwymiarowe w tygodniach, w których przypadają dni usprawiedliwionej nieobecności pracy nauczyciela lub dni ustawowo wolne od pracy, w tygodniach, w których zajęcia rozpoczynają się lub kończą w środku tygodnia za podstawę ustalenia liczby godzin ponadwymiarowych przyjmuje się obowiązkowy wymiar zajęć pomniejszony o 1/5 tego wymiaru (lub 1/4 gdy dla nauczyciela ustalono czterodniowy tydzień pracy) za każdy dzień usprawiedliwionej nieobecności w pracy ub dzień ustawowo wolny od pracy.</w:t>
      </w:r>
    </w:p>
    <w:p w14:paraId="629BA411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Godziny ponadwymiarowe przypadające w dniach, w których nauczyciel nie mógł ich realizować w związku  z zawieszeniem zajęć z powodu epidemii lub mrozów.</w:t>
      </w:r>
    </w:p>
    <w:p w14:paraId="07F211EC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Wynagrodzenie za jedną godzinę doraźnego zastępstwa oblicza się proporcjonalnie do wymiaru pensum ustalonego dla rodzaju zajęć realizowanych w ramach doraźnego zastępstwa.</w:t>
      </w:r>
    </w:p>
    <w:p w14:paraId="6CA633DE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Wynagrodzenie za godziny ponadwymiarowe i doraźne zastępstwa wypłaca się na podstawie ewidencji zrealizowanych godzin ponadwymiarowych i doraźnych zastępstw prowadzonych przez dyrektora.</w:t>
      </w:r>
    </w:p>
    <w:p w14:paraId="3F20C123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 xml:space="preserve">Zasady, określone w niniejszym rozdziale dotyczą odpowiednio nauczycieli zatrudnionych w niepełnym wymiarze godzin. </w:t>
      </w:r>
    </w:p>
    <w:p w14:paraId="669E2E5C" w14:textId="77777777" w:rsidR="00A77B3E" w:rsidRDefault="00B07EC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Nagrody i inne świadczenia wynikające ze stosunku pracy</w:t>
      </w:r>
    </w:p>
    <w:p w14:paraId="5D6566AC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 xml:space="preserve">1 W budżecie Gminy Miasta Czarnków tworzy się fundusz nagród dla nauczycieli, o którym mowa w art. 49 ust. 1 Karty Nauczyciela, za ich osiągnięcia w pracy dydaktycznej, wychowawczej i opiekuńczej w wysokości co najmniej 1% planowanych rocznych wynagrodzeń osobowych nauczycieli. </w:t>
      </w:r>
    </w:p>
    <w:p w14:paraId="1620B9DD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Kryteria oraz zasady przyznawania nagród nauczycielom ze specjalnego funduszu nagród zostały określone odrębną uchwałą.</w:t>
      </w:r>
    </w:p>
    <w:p w14:paraId="008723EA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Nauczycielowi przysługuje wynagrodzenie dodatkowe:</w:t>
      </w:r>
    </w:p>
    <w:p w14:paraId="5B796634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prowadzenie jednodniowych: wycieczek, imprez, promocji szkoły,  pracę w komisjach konkursowych lub opiekę nad uczestnikami wycieczek, konkursów, olimpiad, zawodów sportowych itp., jak za 5 godzin ponadwymiarowych wynikających ze stawki  osobistego zaszeregowania nauczyciela, za każdy dzień uczestnictwa lub opieki- wyliczane jako godziny za pracę opiekuńczo-wychowawczą / przyjmując 26 godzin jako obowiązkowy tygodniowy wymiar zajęć/</w:t>
      </w:r>
    </w:p>
    <w:p w14:paraId="5B52BA72" w14:textId="77777777" w:rsidR="00A77B3E" w:rsidRDefault="00B07EC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 prowadzenie i opiekę nad dziećmi i młodzieżą na imprezach wymienionych w ust. 1 trwających dłużej niż  1 dzień – na podstawie  umowy cywilnoprawnej zawartej z dyrektorem szkoły.</w:t>
      </w:r>
    </w:p>
    <w:p w14:paraId="0FC79FC1" w14:textId="77777777" w:rsidR="00A77B3E" w:rsidRDefault="00B07EC9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84857A5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Regulamin został uzgodniony z właściwą komórka związków zawodowych.</w:t>
      </w:r>
    </w:p>
    <w:p w14:paraId="0A575F6A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Z dniem wejścia w życie niniejszej uchwały, traci moc Uchwała Nr  XXXIII/231/09 Rady Miasta Czarnków  z dnia 28.04.2009 r. w sprawie regulaminu wynagradzania nauczycieli zatrudnianych w szkołach </w:t>
      </w:r>
      <w:r>
        <w:rPr>
          <w:color w:val="000000"/>
          <w:u w:color="000000"/>
        </w:rPr>
        <w:br/>
        <w:t>i  przedszkolach  prowadzonych przez Gminę Miasta Czarnków.</w:t>
      </w:r>
    </w:p>
    <w:p w14:paraId="54F40C65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Wykonanie uchwały powierza się Burmistrzowi Miasta.</w:t>
      </w:r>
    </w:p>
    <w:p w14:paraId="318C62F2" w14:textId="77777777" w:rsidR="00A77B3E" w:rsidRDefault="00B07E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Uchwała wchodzi w życie  po upływie 14 dni od dnia ogłoszenia w Dzienniku Urzędowym Województwa Wielkopolskiego</w:t>
      </w:r>
      <w:r>
        <w:rPr>
          <w:b/>
          <w:color w:val="000000"/>
          <w:u w:color="000000"/>
        </w:rPr>
        <w:t> </w:t>
      </w:r>
    </w:p>
    <w:p w14:paraId="71BCB919" w14:textId="77777777" w:rsidR="00A77B3E" w:rsidRDefault="00B07EC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14:paraId="7015F674" w14:textId="77777777" w:rsidR="00A77B3E" w:rsidRDefault="00B07EC9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159CC272" w14:textId="20DBB600" w:rsidR="00A77B3E" w:rsidRDefault="00B07EC9">
      <w:pPr>
        <w:rPr>
          <w:color w:val="000000"/>
          <w:u w:color="000000"/>
        </w:rPr>
      </w:pPr>
      <w:r>
        <w:rPr>
          <w:color w:val="000000"/>
          <w:u w:color="000000"/>
        </w:rPr>
        <w:t>Podstawę prawną podjęcia uchwały stanowił art. 30 ust. 6 Karty Nauczyciela, zgodnie z którym organ prowadzący szkołę będący jednostką samorządu terytorialnego, uwzględniając przewidywaną strukturę zatrudnienia, określa dla nauczycieli poszczególnych stopni awansu zawodowego, w drodze regulaminu: 1) wysokość stawek dodatków, o których mowa w ust. 1 pkt 2, oraz szczegółowe warunki przyznawania tych dodatków, z zastrzeżeniem art. 33 i 34, 2) szczegółowe warunki obliczania i wypłacania wynagrodzenia za godziny ponadwymiarowe i godziny doraźnych zastępstw, z zastrzeżeniem art. 35 ust. 3, Liczne nowelizacje ustawy z dnia 26 stycznia 1982 roku</w:t>
      </w:r>
      <w:r w:rsidR="00A8155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-</w:t>
      </w:r>
      <w:r w:rsidR="00A8155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Karta Nauczyciela od momentu wejścia w życie  uchwały nr XXXIII/231/09 Rady Miasta Czarnków z dnia 28 kwietnia 2009 roku spowodowały, że ustalenia dotychczasowego regulaminu są mało precyzyjne i obliczanie dodatków do wynagrodzenia nauczycieli: funkcyjnych, motywacyjnych, za trudne warunki pracy oraz sposobu obliczania za godziny ponadwymiarowe i godziny doraźnych zastępstw. Najnowsze zmiany dotyczą wysokości dodatku funkcyjnego dla wychowawców, który ustawa określiła</w:t>
      </w:r>
      <w:r w:rsidR="00A8155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na poziomie minimum 300 zł, było 88, 95 zł </w:t>
      </w:r>
      <w:r w:rsidR="00A8155A">
        <w:rPr>
          <w:color w:val="000000"/>
          <w:u w:color="000000"/>
        </w:rPr>
        <w:t xml:space="preserve">w szkole, 77, 19 w przedszkolu. Dodatek </w:t>
      </w:r>
      <w:r>
        <w:rPr>
          <w:color w:val="000000"/>
          <w:u w:color="000000"/>
        </w:rPr>
        <w:t xml:space="preserve">dla opiekuna stażu wynosił 48 zł. Wiele zapisów, które są w obecnym regulaminie powiela regulacje ustawowe, co jest niezgodne z zasadami techniki legislacyjnej. Nowością jest uregulowanie w proponowanej uchwale podstawy obliczania wynagrodzenia z tytułu doraźnych </w:t>
      </w:r>
      <w:r w:rsidR="00A8155A">
        <w:rPr>
          <w:color w:val="000000"/>
          <w:u w:color="000000"/>
        </w:rPr>
        <w:t>zastępstw</w:t>
      </w:r>
      <w:r>
        <w:rPr>
          <w:color w:val="000000"/>
          <w:u w:color="000000"/>
        </w:rPr>
        <w:t>, gdy realizuje je nauczyciel, którego pensum jest odmienne od pensum obowiązującego w miejscu realizacji zastępstwa. Pierwotnie projekcie znalazła się regulacja, zgodnie z którą wynagrodzenie za godziny doraźnych zastępstw oblicza się z uwzględnieniem obowiązkowego wymiaru pensum nauczyciela, który je realizuje. ZNP negatywnie zaopiniował taką propozycję, w związku z czym w formie autopoprawki proponuje się unormowanie, że nauczyciel realizujący zajęcia w zastępstwie nieobecnego nauczyciela, którego tygodniowy obowiązkowy wymiar zajęć jest niższy, otrzymuje wynagrodzenie za te zajęcia stosownie</w:t>
      </w:r>
      <w:r w:rsidR="00A8155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do niższego wymiaru. Za jedną godzinę doraźnego zastępstwa oblicza się proporcjonalnie do wymiaru pensum ustalonego dla rodzaju zajęć realizowanych w ramach doraźnego zastępstwa. Jeśli zatem nauczyciel realizuje np. doraźne zastępstwa z wymiaru 18 godzin, to wynagrodzenie za taką godzinę oblicza się proporcjonalnie do tego wymiaru. Dotychczas obowiązujące wskaźniki dla dodatku funkcyjnego określone były w procentach od wynagrodzenia zasadniczego nauczyciela mianowanego, proponuje się określić je w liczbach po przeliczeniu i zaokrągleniu. Obecnie kształtują się one następująco: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4428"/>
        <w:gridCol w:w="2721"/>
        <w:gridCol w:w="1181"/>
        <w:gridCol w:w="1384"/>
      </w:tblGrid>
      <w:tr w:rsidR="001922E2" w14:paraId="2BA8ECE3" w14:textId="77777777">
        <w:trPr>
          <w:trHeight w:val="288"/>
        </w:trPr>
        <w:tc>
          <w:tcPr>
            <w:tcW w:w="105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9DC3E18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5146FEC7" w14:textId="77777777" w:rsidR="001922E2" w:rsidRDefault="00B07EC9">
            <w:pPr>
              <w:jc w:val="center"/>
            </w:pPr>
            <w:r>
              <w:rPr>
                <w:b/>
                <w:sz w:val="20"/>
              </w:rPr>
              <w:t>DODATEK FUNKCYJNY- dyrektorzy, kierownicy:</w:t>
            </w:r>
          </w:p>
        </w:tc>
      </w:tr>
      <w:tr w:rsidR="001922E2" w14:paraId="43BAE209" w14:textId="7777777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A949D14" w14:textId="77777777" w:rsidR="00A77B3E" w:rsidRDefault="00A8155A">
            <w:pPr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25ACF3A" w14:textId="77777777" w:rsidR="00A77B3E" w:rsidRDefault="00B07EC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PRZEDSZKOLA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CC9811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% wynagrodzenia zasadniczego nauczyciela mianowanego</w:t>
            </w:r>
          </w:p>
        </w:tc>
        <w:tc>
          <w:tcPr>
            <w:tcW w:w="2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3F2C6A0" w14:textId="77777777" w:rsidR="00A77B3E" w:rsidRDefault="00B07EC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 przeliczeniu na zł</w:t>
            </w:r>
          </w:p>
        </w:tc>
      </w:tr>
      <w:tr w:rsidR="001922E2" w14:paraId="77B5AD6D" w14:textId="77777777">
        <w:trPr>
          <w:trHeight w:val="350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37E3B1F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F1BE2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74CD7E3F" w14:textId="77777777" w:rsidR="001922E2" w:rsidRDefault="00B07EC9">
            <w:r>
              <w:rPr>
                <w:sz w:val="20"/>
              </w:rPr>
              <w:t>dyrektor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A712C3A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10-50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BA71EE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296,5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B18E87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1482,5</w:t>
            </w:r>
          </w:p>
        </w:tc>
      </w:tr>
      <w:tr w:rsidR="001922E2" w14:paraId="1B4A0463" w14:textId="77777777">
        <w:trPr>
          <w:trHeight w:val="44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FCB2D61" w14:textId="77777777" w:rsidR="00A77B3E" w:rsidRDefault="00B07EC9">
            <w:pPr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098A29B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7AA2C8E8" w14:textId="77777777" w:rsidR="001922E2" w:rsidRDefault="00B07EC9">
            <w:r>
              <w:rPr>
                <w:sz w:val="20"/>
              </w:rPr>
              <w:t>wicedyrektor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20259C0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5-35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3A0EAA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148,25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516986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1037,75</w:t>
            </w:r>
          </w:p>
        </w:tc>
      </w:tr>
      <w:tr w:rsidR="001922E2" w14:paraId="26E12F0F" w14:textId="7777777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197011E" w14:textId="77777777" w:rsidR="00A77B3E" w:rsidRDefault="00A8155A">
            <w:pPr>
              <w:rPr>
                <w:color w:val="000000"/>
                <w:u w:color="000000"/>
              </w:rPr>
            </w:pP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9128363" w14:textId="77777777" w:rsidR="00A77B3E" w:rsidRDefault="00B07EC9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SZKOŁY WSZYSTKICH TYPÓW: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6473C3D" w14:textId="77777777" w:rsidR="00A77B3E" w:rsidRDefault="00A8155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5DEDC3F" w14:textId="77777777" w:rsidR="00A77B3E" w:rsidRDefault="00A8155A">
            <w:pPr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B4244A" w14:textId="77777777" w:rsidR="00A77B3E" w:rsidRDefault="00A8155A">
            <w:pPr>
              <w:rPr>
                <w:color w:val="000000"/>
                <w:u w:color="000000"/>
              </w:rPr>
            </w:pPr>
          </w:p>
        </w:tc>
      </w:tr>
      <w:tr w:rsidR="001922E2" w14:paraId="5243B1CB" w14:textId="77777777">
        <w:trPr>
          <w:trHeight w:val="576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D715D0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16C8B5B" w14:textId="77777777" w:rsidR="00A77B3E" w:rsidRDefault="00B07EC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dyrektor szkoły liczącej 8 oddziałów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2ADDC7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10 - 30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8AEC37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296,5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94E5E1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889,5</w:t>
            </w:r>
          </w:p>
        </w:tc>
      </w:tr>
      <w:tr w:rsidR="001922E2" w14:paraId="1745261A" w14:textId="77777777">
        <w:trPr>
          <w:trHeight w:val="576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A089669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2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67EEF92" w14:textId="77777777" w:rsidR="00A77B3E" w:rsidRDefault="00B07EC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dyrektor szkoły liczącej od 9 do 16 oddziałów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B97B12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10-70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B342DF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2965,5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4193CFA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2075,5</w:t>
            </w:r>
          </w:p>
        </w:tc>
      </w:tr>
      <w:tr w:rsidR="001922E2" w14:paraId="5BF41457" w14:textId="77777777">
        <w:trPr>
          <w:trHeight w:val="576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2D380C5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6FFF0CB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dyrektor szkoły liczącej  17 oddziałów i więcej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3C54C72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15-100</w:t>
            </w:r>
          </w:p>
          <w:p w14:paraId="7312B429" w14:textId="77777777" w:rsidR="001922E2" w:rsidRDefault="001922E2">
            <w:pPr>
              <w:jc w:val="left"/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9687C0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444,75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CE29828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2965</w:t>
            </w:r>
          </w:p>
        </w:tc>
      </w:tr>
      <w:tr w:rsidR="001922E2" w14:paraId="6DA18B32" w14:textId="7777777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BD3754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1F0076AC" w14:textId="77777777" w:rsidR="001922E2" w:rsidRDefault="00B07EC9">
            <w:pPr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FD56033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67D87BD0" w14:textId="77777777" w:rsidR="001922E2" w:rsidRDefault="00B07EC9">
            <w:r>
              <w:rPr>
                <w:sz w:val="20"/>
              </w:rPr>
              <w:t>wicedyrektor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712BAFE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10-50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9C99B6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296,5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6C1A346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1482,5</w:t>
            </w:r>
          </w:p>
        </w:tc>
      </w:tr>
      <w:tr w:rsidR="001922E2" w14:paraId="257BB521" w14:textId="77777777">
        <w:trPr>
          <w:trHeight w:val="288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965E40A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4EA3C9C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2923F282" w14:textId="77777777" w:rsidR="001922E2" w:rsidRDefault="00B07EC9">
            <w:r>
              <w:rPr>
                <w:sz w:val="20"/>
              </w:rPr>
              <w:t>kierownik świetlicy szkolnej</w:t>
            </w:r>
          </w:p>
        </w:tc>
        <w:tc>
          <w:tcPr>
            <w:tcW w:w="2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1B23CA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5-35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38EFED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148,25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A590E05" w14:textId="77777777" w:rsidR="00A77B3E" w:rsidRDefault="00B07EC9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1037,75</w:t>
            </w:r>
          </w:p>
        </w:tc>
      </w:tr>
    </w:tbl>
    <w:p w14:paraId="15E06844" w14:textId="77777777" w:rsidR="00A77B3E" w:rsidRDefault="00B07EC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Dodatek funkcyjny- pozostałe stanowiska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221"/>
        <w:gridCol w:w="2102"/>
        <w:gridCol w:w="2294"/>
      </w:tblGrid>
      <w:tr w:rsidR="001922E2" w14:paraId="3BC59D72" w14:textId="77777777">
        <w:trPr>
          <w:trHeight w:val="468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CB1CC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0DC8AF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6AD8B8CA" w14:textId="77777777" w:rsidR="001922E2" w:rsidRDefault="00B07EC9">
            <w:pPr>
              <w:jc w:val="left"/>
            </w:pPr>
            <w:r>
              <w:rPr>
                <w:b/>
                <w:sz w:val="24"/>
              </w:rPr>
              <w:t>Stanowisko:</w:t>
            </w:r>
          </w:p>
        </w:tc>
        <w:tc>
          <w:tcPr>
            <w:tcW w:w="4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607B5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  <w:p w14:paraId="0ED27B01" w14:textId="77777777" w:rsidR="001922E2" w:rsidRDefault="00B07EC9">
            <w:pPr>
              <w:jc w:val="left"/>
            </w:pPr>
            <w:r>
              <w:rPr>
                <w:b/>
              </w:rPr>
              <w:t>Wysokość dodatku funkcyjnego (zł)</w:t>
            </w:r>
          </w:p>
        </w:tc>
      </w:tr>
      <w:tr w:rsidR="001922E2" w14:paraId="22B56752" w14:textId="77777777">
        <w:trPr>
          <w:trHeight w:val="312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5EE37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00789D" w14:textId="77777777" w:rsidR="00A77B3E" w:rsidRDefault="00A8155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00790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Projekt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EE1B3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Obecna stawka</w:t>
            </w:r>
          </w:p>
        </w:tc>
      </w:tr>
      <w:tr w:rsidR="001922E2" w14:paraId="6E5D1CC8" w14:textId="77777777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97FB8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5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581E6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wychowawca klasy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45160A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t>300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6B7466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t>88,95</w:t>
            </w:r>
          </w:p>
        </w:tc>
      </w:tr>
      <w:tr w:rsidR="001922E2" w14:paraId="6DEDE196" w14:textId="77777777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6198C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5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ED120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nauczyciel opiekujący się oddziałem przedszkolnym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9741E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t>85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88547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t>74,19</w:t>
            </w:r>
          </w:p>
        </w:tc>
      </w:tr>
      <w:tr w:rsidR="001922E2" w14:paraId="6ABBA896" w14:textId="77777777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42DCD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5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E0A7C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doradca metodyczny/nauczyciel konsultant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4F7EF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t>400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187133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t>-</w:t>
            </w:r>
          </w:p>
        </w:tc>
      </w:tr>
      <w:tr w:rsidR="001922E2" w14:paraId="4B02F08A" w14:textId="77777777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F7462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5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0B109" w14:textId="77777777" w:rsidR="00A77B3E" w:rsidRDefault="00B07EC9">
            <w:pPr>
              <w:jc w:val="left"/>
              <w:rPr>
                <w:color w:val="000000"/>
                <w:u w:color="000000"/>
              </w:rPr>
            </w:pPr>
            <w:r>
              <w:t>opiekun stażu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49384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t>80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4C0259" w14:textId="77777777" w:rsidR="00A77B3E" w:rsidRDefault="00B07EC9">
            <w:pPr>
              <w:jc w:val="center"/>
              <w:rPr>
                <w:color w:val="000000"/>
                <w:u w:color="000000"/>
              </w:rPr>
            </w:pPr>
            <w:r>
              <w:t>48</w:t>
            </w:r>
          </w:p>
        </w:tc>
      </w:tr>
    </w:tbl>
    <w:p w14:paraId="4AD2C0AA" w14:textId="77777777" w:rsidR="00A77B3E" w:rsidRDefault="00A8155A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2360E21" w14:textId="77777777" w:rsidR="001922E2" w:rsidRDefault="001922E2">
      <w:pPr>
        <w:pStyle w:val="Normal0"/>
      </w:pPr>
    </w:p>
    <w:p w14:paraId="3EC8CFB2" w14:textId="77777777" w:rsidR="001922E2" w:rsidRDefault="00B07EC9">
      <w:pPr>
        <w:pStyle w:val="Normal0"/>
        <w:jc w:val="center"/>
      </w:pPr>
      <w:r>
        <w:rPr>
          <w:b/>
        </w:rPr>
        <w:t>Uzasadnienie</w:t>
      </w:r>
    </w:p>
    <w:p w14:paraId="38D4B2FC" w14:textId="77777777" w:rsidR="001922E2" w:rsidRDefault="00B07EC9">
      <w:pPr>
        <w:pStyle w:val="Normal0"/>
        <w:spacing w:before="120" w:after="120"/>
        <w:ind w:left="283" w:firstLine="227"/>
      </w:pPr>
      <w:r>
        <w:t>Podstawę prawną podjęcia uchwały stanowił art. 30 ust. 6 Karty Nauczyciela, zgodnie z którym organ prowadzący szkołę będący jednostką samorządu terytorialnego, uwzględniając przewidywaną strukturę zatrudnienia, określa dla nauczycieli poszczególnych stopni awansu zawodowego, w drodze regulaminu: 1) wysokość stawek dodatków, o których mowa w ust. 1 pkt 2, oraz szczegółowe warunki przyznawania tych dodatków, z zastrzeżeniem art. 33 i 34, 2) szczegółowe warunki obliczania i wypłacania wynagrodzenia za godziny ponadwymiarowe i godziny doraźnych zastępstw, z zastrzeżeniem art. 35 ust. 3,</w:t>
      </w:r>
    </w:p>
    <w:p w14:paraId="52E346C9" w14:textId="77777777" w:rsidR="001922E2" w:rsidRDefault="00B07EC9">
      <w:pPr>
        <w:pStyle w:val="Normal0"/>
        <w:spacing w:before="120" w:after="120"/>
        <w:ind w:left="283" w:firstLine="227"/>
      </w:pPr>
      <w:r>
        <w:t>Liczne nowelizacje ustawy z dnia 26 stycznia 1982 roku -Karta Nauczyciela od momentu wejścia w życie  uchwały nr XXXIII/231/09 Rady Miasta Czarnków z dnia 28 kwietnia 2009 roku spowodowały, że ustalenia dotychczasowego regulaminu są mało precyzyjne i obliczanie dodatków do wynagrodzenia nauczycieli: funkcyjnych, motywacyjnych, za trudne warunki pracy oraz sposobu obliczania za godziny ponadwymiarowe i godziny doraźnych zastępstw.</w:t>
      </w:r>
    </w:p>
    <w:p w14:paraId="741F73AB" w14:textId="77777777" w:rsidR="001922E2" w:rsidRDefault="00B07EC9">
      <w:pPr>
        <w:pStyle w:val="Normal0"/>
        <w:spacing w:before="120" w:after="120"/>
        <w:ind w:left="283" w:firstLine="227"/>
      </w:pPr>
      <w:r>
        <w:t>Najnowsze zmiany dotyczą wysokości dodatku funkcyjnego dla wychowawców, który ustawa określiła</w:t>
      </w:r>
      <w:r>
        <w:br/>
        <w:t>na poziomie minimum 300 zł, było 88, 95 zł w szkole, 77, 19 w przedszkolu. Dodatek dla opiekuna stażu wynosił 48 zł.</w:t>
      </w:r>
    </w:p>
    <w:p w14:paraId="75A5617A" w14:textId="4993F155" w:rsidR="001922E2" w:rsidRDefault="00B07EC9">
      <w:pPr>
        <w:pStyle w:val="Normal0"/>
        <w:spacing w:before="120" w:after="120"/>
        <w:ind w:left="283" w:firstLine="227"/>
      </w:pPr>
      <w:r>
        <w:t xml:space="preserve">Wiele zapisów, które są w obecnym regulaminie powiela regulacje ustawowe, co jest niezgodne z zasadami techniki legislacyjnej. Nowością jest uregulowanie w proponowanej uchwale podstawy obliczania wynagrodzenia z tytułu doraźnych </w:t>
      </w:r>
      <w:r w:rsidR="00A8155A">
        <w:t>zastępstw</w:t>
      </w:r>
      <w:r>
        <w:t>, gdy realizuje je nauczyciel, którego pensum jest odmienne</w:t>
      </w:r>
      <w:r>
        <w:br/>
        <w:t>od pensum obowiązującego w miejscu realizacji zastępstwa.</w:t>
      </w:r>
    </w:p>
    <w:p w14:paraId="649976FC" w14:textId="77777777" w:rsidR="001922E2" w:rsidRDefault="00B07EC9">
      <w:pPr>
        <w:pStyle w:val="Normal0"/>
        <w:spacing w:before="120" w:after="120"/>
        <w:ind w:left="283" w:firstLine="227"/>
      </w:pPr>
      <w:r>
        <w:t>Pierwotnie projekcie znalazła się regulacja, zgodnie z którą wynagrodzenie za godziny doraźnych zastępstw oblicza się z uwzględnieniem obowiązkowego wymiaru pensum nauczyciela, który je realizuje.</w:t>
      </w:r>
    </w:p>
    <w:p w14:paraId="6E769083" w14:textId="77777777" w:rsidR="001922E2" w:rsidRDefault="00B07EC9">
      <w:pPr>
        <w:pStyle w:val="Normal0"/>
        <w:spacing w:before="120" w:after="120"/>
        <w:ind w:left="283" w:firstLine="227"/>
      </w:pPr>
      <w:r>
        <w:t>ZNP negatywnie zaopiniował taką propozycję, w związku z czym w formie autopoprawki proponuje</w:t>
      </w:r>
      <w:r>
        <w:br/>
        <w:t>się unormowanie, że nauczyciel realizujący zajęcia w zastępstwie nieobecnego nauczyciela, którego tygodniowy obowiązkowy wymiar zajęć jest niższy, otrzymuje wynagrodzenie za te zajęcia stosownie</w:t>
      </w:r>
      <w:r>
        <w:br/>
        <w:t>do niższego wymiaru.</w:t>
      </w:r>
    </w:p>
    <w:p w14:paraId="5592F22A" w14:textId="77777777" w:rsidR="001922E2" w:rsidRDefault="00B07EC9">
      <w:pPr>
        <w:pStyle w:val="Normal0"/>
        <w:spacing w:before="120" w:after="120"/>
        <w:ind w:left="283" w:firstLine="227"/>
      </w:pPr>
      <w:r>
        <w:t>Za jedną godzinę doraźnego zastępstwa oblicza się proporcjonalnie do wymiaru pensum ustalonego</w:t>
      </w:r>
      <w:r>
        <w:br/>
        <w:t>dla rodzaju zajęć realizowanych w ramach doraźnego zastępstwa.</w:t>
      </w:r>
    </w:p>
    <w:p w14:paraId="016129C7" w14:textId="77777777" w:rsidR="001922E2" w:rsidRDefault="00B07EC9">
      <w:pPr>
        <w:pStyle w:val="Normal0"/>
        <w:spacing w:before="120" w:after="120"/>
        <w:ind w:left="283" w:firstLine="227"/>
      </w:pPr>
      <w:r>
        <w:t>Jeśli zatem nauczyciel realizuje np. doraźne zastępstwa z wymiaru 18 godzin, to wynagrodzenie za taką godzinę oblicza się proporcjonalnie do tego wymiaru.</w:t>
      </w:r>
    </w:p>
    <w:p w14:paraId="078C55B8" w14:textId="77777777" w:rsidR="001922E2" w:rsidRDefault="00B07EC9">
      <w:pPr>
        <w:pStyle w:val="Normal0"/>
        <w:spacing w:before="120" w:after="120"/>
        <w:ind w:left="283" w:firstLine="227"/>
      </w:pPr>
      <w:r>
        <w:t>Dotychczas obowiązujące wskaźniki dla dodatku funkcyjnego określone były w procentach</w:t>
      </w:r>
      <w:r>
        <w:br/>
        <w:t>od wynagrodzenia zasadniczego nauczyciela mianowanego, proponuje się określić je w liczbach po przeliczeniu i zaokrągleniu.</w:t>
      </w:r>
    </w:p>
    <w:p w14:paraId="2DC11D95" w14:textId="77777777" w:rsidR="001922E2" w:rsidRDefault="00B07EC9">
      <w:pPr>
        <w:pStyle w:val="Normal0"/>
        <w:spacing w:before="120" w:after="120"/>
        <w:ind w:left="283" w:firstLine="227"/>
      </w:pPr>
      <w:r>
        <w:t>Obecnie kształtują się one następująco: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4441"/>
        <w:gridCol w:w="2725"/>
        <w:gridCol w:w="1176"/>
        <w:gridCol w:w="1368"/>
      </w:tblGrid>
      <w:tr w:rsidR="001922E2" w14:paraId="54B8D418" w14:textId="77777777">
        <w:trPr>
          <w:trHeight w:val="288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8A2C6" w14:textId="77777777" w:rsidR="001922E2" w:rsidRDefault="001922E2">
            <w:pPr>
              <w:pStyle w:val="Normal0"/>
              <w:jc w:val="left"/>
            </w:pPr>
          </w:p>
          <w:p w14:paraId="4EA96C9E" w14:textId="77777777" w:rsidR="001922E2" w:rsidRDefault="00B07EC9">
            <w:pPr>
              <w:pStyle w:val="Normal0"/>
              <w:jc w:val="center"/>
            </w:pPr>
            <w:r>
              <w:rPr>
                <w:b/>
                <w:sz w:val="20"/>
              </w:rPr>
              <w:t>DODATEK FUNKCYJNY- dyrektorzy, kierownicy:</w:t>
            </w:r>
          </w:p>
        </w:tc>
      </w:tr>
      <w:tr w:rsidR="001922E2" w14:paraId="4E204E6D" w14:textId="77777777">
        <w:trPr>
          <w:trHeight w:val="28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D8FBC" w14:textId="77777777" w:rsidR="001922E2" w:rsidRDefault="001922E2">
            <w:pPr>
              <w:pStyle w:val="Normal0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FF22C" w14:textId="77777777" w:rsidR="001922E2" w:rsidRDefault="00B07EC9">
            <w:pPr>
              <w:pStyle w:val="Normal0"/>
            </w:pPr>
            <w:r>
              <w:rPr>
                <w:b/>
                <w:sz w:val="20"/>
              </w:rPr>
              <w:t>PRZEDSZKOLA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A316B" w14:textId="77777777" w:rsidR="001922E2" w:rsidRDefault="00B07EC9">
            <w:pPr>
              <w:pStyle w:val="Normal0"/>
              <w:jc w:val="center"/>
            </w:pPr>
            <w:r>
              <w:rPr>
                <w:b/>
                <w:sz w:val="20"/>
              </w:rPr>
              <w:t>% wynagrodzenia zasadniczego nauczyciela mianowanego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68886" w14:textId="77777777" w:rsidR="001922E2" w:rsidRDefault="00B07EC9">
            <w:pPr>
              <w:pStyle w:val="Normal0"/>
            </w:pPr>
            <w:r>
              <w:rPr>
                <w:b/>
                <w:sz w:val="20"/>
              </w:rPr>
              <w:t>W przeliczeniu na zł</w:t>
            </w:r>
          </w:p>
        </w:tc>
      </w:tr>
      <w:tr w:rsidR="001922E2" w14:paraId="222D5DB3" w14:textId="77777777">
        <w:trPr>
          <w:trHeight w:val="35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8BF5" w14:textId="77777777" w:rsidR="001922E2" w:rsidRDefault="00B07EC9">
            <w:pPr>
              <w:pStyle w:val="Normal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01C" w14:textId="77777777" w:rsidR="001922E2" w:rsidRDefault="001922E2">
            <w:pPr>
              <w:pStyle w:val="Normal0"/>
              <w:jc w:val="left"/>
            </w:pPr>
          </w:p>
          <w:p w14:paraId="47D3FE4D" w14:textId="77777777" w:rsidR="001922E2" w:rsidRDefault="00B07EC9">
            <w:pPr>
              <w:pStyle w:val="Normal0"/>
            </w:pPr>
            <w:r>
              <w:rPr>
                <w:sz w:val="20"/>
              </w:rPr>
              <w:t>dyrektor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986E" w14:textId="77777777" w:rsidR="001922E2" w:rsidRDefault="00B07EC9">
            <w:pPr>
              <w:pStyle w:val="Normal0"/>
              <w:jc w:val="center"/>
            </w:pPr>
            <w:r>
              <w:rPr>
                <w:sz w:val="20"/>
              </w:rPr>
              <w:t>10-50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7803C" w14:textId="77777777" w:rsidR="001922E2" w:rsidRDefault="00B07EC9">
            <w:pPr>
              <w:pStyle w:val="Normal0"/>
              <w:jc w:val="right"/>
            </w:pPr>
            <w:r>
              <w:rPr>
                <w:sz w:val="20"/>
              </w:rPr>
              <w:t>296,5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7A8E" w14:textId="77777777" w:rsidR="001922E2" w:rsidRDefault="00B07EC9">
            <w:pPr>
              <w:pStyle w:val="Normal0"/>
              <w:jc w:val="right"/>
            </w:pPr>
            <w:r>
              <w:rPr>
                <w:sz w:val="20"/>
              </w:rPr>
              <w:t>1482,5</w:t>
            </w:r>
          </w:p>
        </w:tc>
      </w:tr>
      <w:tr w:rsidR="001922E2" w14:paraId="520764B9" w14:textId="77777777">
        <w:trPr>
          <w:trHeight w:val="44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053C6" w14:textId="77777777" w:rsidR="001922E2" w:rsidRDefault="00B07EC9">
            <w:pPr>
              <w:pStyle w:val="Normal0"/>
            </w:pPr>
            <w:r>
              <w:rPr>
                <w:b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B22B" w14:textId="77777777" w:rsidR="001922E2" w:rsidRDefault="001922E2">
            <w:pPr>
              <w:pStyle w:val="Normal0"/>
              <w:jc w:val="left"/>
            </w:pPr>
          </w:p>
          <w:p w14:paraId="05A1C9EE" w14:textId="77777777" w:rsidR="001922E2" w:rsidRDefault="00B07EC9">
            <w:pPr>
              <w:pStyle w:val="Normal0"/>
            </w:pPr>
            <w:r>
              <w:rPr>
                <w:sz w:val="20"/>
              </w:rPr>
              <w:t>wicedyrektor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6CAE" w14:textId="77777777" w:rsidR="001922E2" w:rsidRDefault="00B07EC9">
            <w:pPr>
              <w:pStyle w:val="Normal0"/>
              <w:jc w:val="center"/>
            </w:pPr>
            <w:r>
              <w:rPr>
                <w:sz w:val="20"/>
              </w:rPr>
              <w:t>5-35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120B" w14:textId="77777777" w:rsidR="001922E2" w:rsidRDefault="00B07EC9">
            <w:pPr>
              <w:pStyle w:val="Normal0"/>
              <w:jc w:val="right"/>
            </w:pPr>
            <w:r>
              <w:rPr>
                <w:sz w:val="20"/>
              </w:rPr>
              <w:t>148,25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3119" w14:textId="77777777" w:rsidR="001922E2" w:rsidRDefault="00B07EC9">
            <w:pPr>
              <w:pStyle w:val="Normal0"/>
              <w:jc w:val="right"/>
            </w:pPr>
            <w:r>
              <w:rPr>
                <w:sz w:val="20"/>
              </w:rPr>
              <w:t>1037,75</w:t>
            </w:r>
          </w:p>
        </w:tc>
      </w:tr>
      <w:tr w:rsidR="001922E2" w14:paraId="5A076CFB" w14:textId="77777777">
        <w:trPr>
          <w:trHeight w:val="28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FE27B" w14:textId="77777777" w:rsidR="001922E2" w:rsidRDefault="001922E2">
            <w:pPr>
              <w:pStyle w:val="Normal0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30EB" w14:textId="77777777" w:rsidR="001922E2" w:rsidRDefault="00B07EC9">
            <w:pPr>
              <w:pStyle w:val="Normal0"/>
            </w:pPr>
            <w:r>
              <w:rPr>
                <w:b/>
                <w:sz w:val="20"/>
              </w:rPr>
              <w:t>SZKOŁY WSZYSTKICH TYPÓW: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195F8" w14:textId="77777777" w:rsidR="001922E2" w:rsidRDefault="001922E2">
            <w:pPr>
              <w:pStyle w:val="Normal0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30E00" w14:textId="77777777" w:rsidR="001922E2" w:rsidRDefault="001922E2">
            <w:pPr>
              <w:pStyle w:val="Normal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D1E11" w14:textId="77777777" w:rsidR="001922E2" w:rsidRDefault="001922E2">
            <w:pPr>
              <w:pStyle w:val="Normal0"/>
            </w:pPr>
          </w:p>
        </w:tc>
      </w:tr>
      <w:tr w:rsidR="001922E2" w14:paraId="66713B80" w14:textId="77777777">
        <w:trPr>
          <w:trHeight w:val="57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CE4B" w14:textId="77777777" w:rsidR="001922E2" w:rsidRDefault="00B07EC9">
            <w:pPr>
              <w:pStyle w:val="Normal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30FC7" w14:textId="77777777" w:rsidR="001922E2" w:rsidRDefault="00B07EC9">
            <w:pPr>
              <w:pStyle w:val="Normal0"/>
            </w:pPr>
            <w:r>
              <w:rPr>
                <w:sz w:val="20"/>
              </w:rPr>
              <w:t>dyrektor szkoły liczącej 8 oddziałów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1AC9" w14:textId="77777777" w:rsidR="001922E2" w:rsidRDefault="00B07EC9">
            <w:pPr>
              <w:pStyle w:val="Normal0"/>
              <w:jc w:val="center"/>
            </w:pPr>
            <w:r>
              <w:rPr>
                <w:sz w:val="20"/>
              </w:rPr>
              <w:t>10 - 30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D7486" w14:textId="77777777" w:rsidR="001922E2" w:rsidRDefault="00B07EC9">
            <w:pPr>
              <w:pStyle w:val="Normal0"/>
              <w:jc w:val="right"/>
            </w:pPr>
            <w:r>
              <w:rPr>
                <w:sz w:val="20"/>
              </w:rPr>
              <w:t>296,5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C1AE9" w14:textId="77777777" w:rsidR="001922E2" w:rsidRDefault="00B07EC9">
            <w:pPr>
              <w:pStyle w:val="Normal0"/>
              <w:jc w:val="right"/>
            </w:pPr>
            <w:r>
              <w:rPr>
                <w:sz w:val="20"/>
              </w:rPr>
              <w:t>889,5</w:t>
            </w:r>
          </w:p>
        </w:tc>
      </w:tr>
      <w:tr w:rsidR="001922E2" w14:paraId="7E0064B3" w14:textId="77777777">
        <w:trPr>
          <w:trHeight w:val="57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49C0E" w14:textId="77777777" w:rsidR="001922E2" w:rsidRDefault="00B07EC9">
            <w:pPr>
              <w:pStyle w:val="Normal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96E8" w14:textId="77777777" w:rsidR="001922E2" w:rsidRDefault="00B07EC9">
            <w:pPr>
              <w:pStyle w:val="Normal0"/>
            </w:pPr>
            <w:r>
              <w:rPr>
                <w:sz w:val="20"/>
              </w:rPr>
              <w:t>dyrektor szkoły liczącej od 9 do 16 oddziałów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1299B" w14:textId="77777777" w:rsidR="001922E2" w:rsidRDefault="00B07EC9">
            <w:pPr>
              <w:pStyle w:val="Normal0"/>
              <w:jc w:val="center"/>
            </w:pPr>
            <w:r>
              <w:rPr>
                <w:sz w:val="20"/>
              </w:rPr>
              <w:t>10-70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60BA8" w14:textId="77777777" w:rsidR="001922E2" w:rsidRDefault="00B07EC9">
            <w:pPr>
              <w:pStyle w:val="Normal0"/>
              <w:jc w:val="right"/>
            </w:pPr>
            <w:r>
              <w:rPr>
                <w:sz w:val="20"/>
              </w:rPr>
              <w:t>2965,5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9F888" w14:textId="77777777" w:rsidR="001922E2" w:rsidRDefault="00B07EC9">
            <w:pPr>
              <w:pStyle w:val="Normal0"/>
              <w:jc w:val="right"/>
            </w:pPr>
            <w:r>
              <w:rPr>
                <w:sz w:val="20"/>
              </w:rPr>
              <w:t>2075,5</w:t>
            </w:r>
          </w:p>
        </w:tc>
      </w:tr>
      <w:tr w:rsidR="001922E2" w14:paraId="746B70FF" w14:textId="77777777">
        <w:trPr>
          <w:trHeight w:val="57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42B6C" w14:textId="77777777" w:rsidR="001922E2" w:rsidRDefault="00B07EC9">
            <w:pPr>
              <w:pStyle w:val="Normal0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CCF0" w14:textId="77777777" w:rsidR="001922E2" w:rsidRDefault="00B07EC9">
            <w:pPr>
              <w:pStyle w:val="Normal0"/>
              <w:rPr>
                <w:color w:val="000000"/>
                <w:u w:color="000000"/>
              </w:rPr>
            </w:pPr>
            <w:r>
              <w:rPr>
                <w:sz w:val="20"/>
              </w:rPr>
              <w:t>dyrektor szkoły liczącej  17 oddziałów</w:t>
            </w:r>
            <w:r>
              <w:rPr>
                <w:sz w:val="20"/>
              </w:rPr>
              <w:br/>
              <w:t>i więcej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CF306" w14:textId="77777777" w:rsidR="001922E2" w:rsidRDefault="00B07EC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15-100</w:t>
            </w:r>
          </w:p>
          <w:p w14:paraId="0623ECDF" w14:textId="77777777" w:rsidR="001922E2" w:rsidRDefault="001922E2">
            <w:pPr>
              <w:pStyle w:val="Normal0"/>
              <w:jc w:val="left"/>
            </w:pPr>
          </w:p>
          <w:p w14:paraId="2B42E9A0" w14:textId="77777777" w:rsidR="001922E2" w:rsidRDefault="001922E2">
            <w:pPr>
              <w:pStyle w:val="Normal0"/>
              <w:jc w:val="lef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64F5" w14:textId="77777777" w:rsidR="001922E2" w:rsidRDefault="00B07EC9">
            <w:pPr>
              <w:pStyle w:val="Normal0"/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444,75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EFEF" w14:textId="77777777" w:rsidR="001922E2" w:rsidRDefault="00B07EC9">
            <w:pPr>
              <w:pStyle w:val="Normal0"/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2965</w:t>
            </w:r>
          </w:p>
        </w:tc>
      </w:tr>
      <w:tr w:rsidR="001922E2" w14:paraId="751A02C0" w14:textId="77777777">
        <w:trPr>
          <w:trHeight w:val="28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AEA49" w14:textId="77777777" w:rsidR="001922E2" w:rsidRDefault="001922E2">
            <w:pPr>
              <w:pStyle w:val="Normal0"/>
              <w:jc w:val="left"/>
              <w:rPr>
                <w:color w:val="000000"/>
                <w:u w:color="000000"/>
              </w:rPr>
            </w:pPr>
          </w:p>
          <w:p w14:paraId="615AD1E7" w14:textId="77777777" w:rsidR="001922E2" w:rsidRDefault="00B07EC9">
            <w:pPr>
              <w:pStyle w:val="Normal0"/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6D85" w14:textId="77777777" w:rsidR="001922E2" w:rsidRDefault="001922E2">
            <w:pPr>
              <w:pStyle w:val="Normal0"/>
              <w:jc w:val="left"/>
              <w:rPr>
                <w:color w:val="000000"/>
                <w:u w:color="000000"/>
              </w:rPr>
            </w:pPr>
          </w:p>
          <w:p w14:paraId="73FD8904" w14:textId="77777777" w:rsidR="001922E2" w:rsidRDefault="00B07EC9">
            <w:pPr>
              <w:pStyle w:val="Normal0"/>
            </w:pPr>
            <w:r>
              <w:rPr>
                <w:sz w:val="20"/>
              </w:rPr>
              <w:t>wicedyrektor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E487A" w14:textId="77777777" w:rsidR="001922E2" w:rsidRDefault="00B07EC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10-50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4B0E" w14:textId="77777777" w:rsidR="001922E2" w:rsidRDefault="00B07EC9">
            <w:pPr>
              <w:pStyle w:val="Normal0"/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296,5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5704" w14:textId="77777777" w:rsidR="001922E2" w:rsidRDefault="00B07EC9">
            <w:pPr>
              <w:pStyle w:val="Normal0"/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1482,5</w:t>
            </w:r>
          </w:p>
        </w:tc>
      </w:tr>
      <w:tr w:rsidR="001922E2" w14:paraId="7512A6A6" w14:textId="77777777">
        <w:trPr>
          <w:trHeight w:val="28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878D7" w14:textId="77777777" w:rsidR="001922E2" w:rsidRDefault="00B07EC9">
            <w:pPr>
              <w:pStyle w:val="Normal0"/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7199" w14:textId="77777777" w:rsidR="001922E2" w:rsidRDefault="001922E2">
            <w:pPr>
              <w:pStyle w:val="Normal0"/>
              <w:jc w:val="left"/>
              <w:rPr>
                <w:color w:val="000000"/>
                <w:u w:color="000000"/>
              </w:rPr>
            </w:pPr>
          </w:p>
          <w:p w14:paraId="4AC2DBD7" w14:textId="77777777" w:rsidR="001922E2" w:rsidRDefault="00B07EC9">
            <w:pPr>
              <w:pStyle w:val="Normal0"/>
            </w:pPr>
            <w:r>
              <w:rPr>
                <w:sz w:val="20"/>
              </w:rPr>
              <w:t>kierownik świetlicy szkolnej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8AF1B" w14:textId="77777777" w:rsidR="001922E2" w:rsidRDefault="00B07EC9">
            <w:pPr>
              <w:pStyle w:val="Normal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5-35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7D25" w14:textId="77777777" w:rsidR="001922E2" w:rsidRDefault="00B07EC9">
            <w:pPr>
              <w:pStyle w:val="Normal0"/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148,25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C238" w14:textId="77777777" w:rsidR="001922E2" w:rsidRDefault="00B07EC9">
            <w:pPr>
              <w:pStyle w:val="Normal0"/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1037,75</w:t>
            </w:r>
          </w:p>
        </w:tc>
      </w:tr>
    </w:tbl>
    <w:p w14:paraId="67901302" w14:textId="77777777" w:rsidR="001922E2" w:rsidRDefault="00B07EC9">
      <w:pPr>
        <w:pStyle w:val="Normal0"/>
        <w:spacing w:before="120" w:after="120"/>
        <w:ind w:left="283" w:firstLine="227"/>
      </w:pPr>
      <w:r>
        <w:t>Dodatek funkcyjny- pozostałe stanowiska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233"/>
        <w:gridCol w:w="2100"/>
        <w:gridCol w:w="2280"/>
      </w:tblGrid>
      <w:tr w:rsidR="001922E2" w14:paraId="3D7BBA55" w14:textId="77777777">
        <w:trPr>
          <w:trHeight w:val="46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25D" w14:textId="77777777" w:rsidR="001922E2" w:rsidRDefault="001922E2">
            <w:pPr>
              <w:pStyle w:val="Normal0"/>
              <w:jc w:val="left"/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D12" w14:textId="77777777" w:rsidR="001922E2" w:rsidRDefault="001922E2">
            <w:pPr>
              <w:pStyle w:val="Normal0"/>
              <w:jc w:val="left"/>
            </w:pPr>
          </w:p>
          <w:p w14:paraId="3312B9BA" w14:textId="77777777" w:rsidR="001922E2" w:rsidRDefault="00B07EC9">
            <w:pPr>
              <w:pStyle w:val="Normal0"/>
              <w:jc w:val="left"/>
            </w:pPr>
            <w:r>
              <w:rPr>
                <w:b/>
                <w:sz w:val="24"/>
              </w:rPr>
              <w:t>Stanowisko: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468" w14:textId="77777777" w:rsidR="001922E2" w:rsidRDefault="001922E2">
            <w:pPr>
              <w:pStyle w:val="Normal0"/>
              <w:jc w:val="left"/>
            </w:pPr>
          </w:p>
          <w:p w14:paraId="73C090B1" w14:textId="77777777" w:rsidR="001922E2" w:rsidRDefault="00B07EC9">
            <w:pPr>
              <w:pStyle w:val="Normal0"/>
              <w:jc w:val="left"/>
            </w:pPr>
            <w:r>
              <w:rPr>
                <w:b/>
              </w:rPr>
              <w:t>Wysokość dodatku funkcyjnego (zł)</w:t>
            </w:r>
          </w:p>
        </w:tc>
      </w:tr>
      <w:tr w:rsidR="001922E2" w14:paraId="77A4D8FA" w14:textId="77777777">
        <w:trPr>
          <w:trHeight w:val="31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53C" w14:textId="77777777" w:rsidR="001922E2" w:rsidRDefault="001922E2">
            <w:pPr>
              <w:pStyle w:val="Normal0"/>
              <w:jc w:val="left"/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E24" w14:textId="77777777" w:rsidR="001922E2" w:rsidRDefault="001922E2">
            <w:pPr>
              <w:pStyle w:val="Normal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1C5" w14:textId="77777777" w:rsidR="001922E2" w:rsidRDefault="00B07EC9">
            <w:pPr>
              <w:pStyle w:val="Normal0"/>
              <w:jc w:val="left"/>
            </w:pPr>
            <w:r>
              <w:rPr>
                <w:b/>
              </w:rPr>
              <w:t>Projekt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527A" w14:textId="77777777" w:rsidR="001922E2" w:rsidRDefault="00B07EC9">
            <w:pPr>
              <w:pStyle w:val="Normal0"/>
              <w:jc w:val="left"/>
            </w:pPr>
            <w:r>
              <w:rPr>
                <w:b/>
              </w:rPr>
              <w:t>Obecna stawka</w:t>
            </w:r>
          </w:p>
        </w:tc>
      </w:tr>
      <w:tr w:rsidR="001922E2" w14:paraId="4BAC6B51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3AD" w14:textId="77777777" w:rsidR="001922E2" w:rsidRDefault="00B07EC9">
            <w:pPr>
              <w:pStyle w:val="Normal0"/>
              <w:jc w:val="left"/>
            </w:pPr>
            <w: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A35" w14:textId="77777777" w:rsidR="001922E2" w:rsidRDefault="00B07EC9">
            <w:pPr>
              <w:pStyle w:val="Normal0"/>
              <w:jc w:val="left"/>
            </w:pPr>
            <w:r>
              <w:t>wychowawca klasy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C3C" w14:textId="77777777" w:rsidR="001922E2" w:rsidRDefault="00B07EC9">
            <w:pPr>
              <w:pStyle w:val="Normal0"/>
              <w:jc w:val="left"/>
            </w:pPr>
            <w:r>
              <w:t>300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07D" w14:textId="77777777" w:rsidR="001922E2" w:rsidRDefault="00B07EC9">
            <w:pPr>
              <w:pStyle w:val="Normal0"/>
            </w:pPr>
            <w:r>
              <w:t>88,95</w:t>
            </w:r>
          </w:p>
        </w:tc>
      </w:tr>
      <w:tr w:rsidR="001922E2" w14:paraId="002BDCAE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F73" w14:textId="77777777" w:rsidR="001922E2" w:rsidRDefault="00B07EC9">
            <w:pPr>
              <w:pStyle w:val="Normal0"/>
              <w:jc w:val="left"/>
            </w:pPr>
            <w: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D45" w14:textId="77777777" w:rsidR="001922E2" w:rsidRDefault="00B07EC9">
            <w:pPr>
              <w:pStyle w:val="Normal0"/>
              <w:jc w:val="left"/>
            </w:pPr>
            <w:r>
              <w:t>nauczyciel opiekujący się oddziałem przedszkolnym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645" w14:textId="77777777" w:rsidR="001922E2" w:rsidRDefault="00B07EC9">
            <w:pPr>
              <w:pStyle w:val="Normal0"/>
              <w:jc w:val="left"/>
            </w:pPr>
            <w:r>
              <w:t>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CD7" w14:textId="77777777" w:rsidR="001922E2" w:rsidRDefault="00B07EC9">
            <w:pPr>
              <w:pStyle w:val="Normal0"/>
            </w:pPr>
            <w:r>
              <w:t>74,19</w:t>
            </w:r>
          </w:p>
        </w:tc>
      </w:tr>
      <w:tr w:rsidR="001922E2" w14:paraId="04832698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802" w14:textId="77777777" w:rsidR="001922E2" w:rsidRDefault="00B07EC9">
            <w:pPr>
              <w:pStyle w:val="Normal0"/>
              <w:jc w:val="left"/>
            </w:pPr>
            <w: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26D" w14:textId="77777777" w:rsidR="001922E2" w:rsidRDefault="00B07EC9">
            <w:pPr>
              <w:pStyle w:val="Normal0"/>
              <w:jc w:val="left"/>
            </w:pPr>
            <w:r>
              <w:t>doradca metodyczny/nauczyciel konsultant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5B0" w14:textId="77777777" w:rsidR="001922E2" w:rsidRDefault="00B07EC9">
            <w:pPr>
              <w:pStyle w:val="Normal0"/>
              <w:jc w:val="left"/>
            </w:pPr>
            <w:r>
              <w:t>400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E9A" w14:textId="77777777" w:rsidR="001922E2" w:rsidRDefault="00B07EC9">
            <w:pPr>
              <w:pStyle w:val="Normal0"/>
            </w:pPr>
            <w:r>
              <w:t>-</w:t>
            </w:r>
          </w:p>
        </w:tc>
      </w:tr>
      <w:tr w:rsidR="001922E2" w14:paraId="45215B79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73B" w14:textId="77777777" w:rsidR="001922E2" w:rsidRDefault="00B07EC9">
            <w:pPr>
              <w:pStyle w:val="Normal0"/>
              <w:jc w:val="left"/>
            </w:pPr>
            <w: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D3E" w14:textId="77777777" w:rsidR="001922E2" w:rsidRDefault="00B07EC9">
            <w:pPr>
              <w:pStyle w:val="Normal0"/>
              <w:jc w:val="left"/>
            </w:pPr>
            <w:r>
              <w:t>opiekun stażu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96C" w14:textId="77777777" w:rsidR="001922E2" w:rsidRDefault="00B07EC9">
            <w:pPr>
              <w:pStyle w:val="Normal0"/>
              <w:jc w:val="left"/>
            </w:pPr>
            <w:r>
              <w:t>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E7D" w14:textId="77777777" w:rsidR="001922E2" w:rsidRDefault="00B07EC9">
            <w:pPr>
              <w:pStyle w:val="Normal0"/>
            </w:pPr>
            <w:r>
              <w:t>48</w:t>
            </w:r>
          </w:p>
        </w:tc>
      </w:tr>
    </w:tbl>
    <w:p w14:paraId="2BBF1789" w14:textId="77777777" w:rsidR="001922E2" w:rsidRDefault="001922E2">
      <w:pPr>
        <w:pStyle w:val="Normal0"/>
      </w:pPr>
    </w:p>
    <w:sectPr w:rsidR="001922E2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F0652" w14:textId="77777777" w:rsidR="00B07EC9" w:rsidRDefault="00B07EC9">
      <w:r>
        <w:separator/>
      </w:r>
    </w:p>
  </w:endnote>
  <w:endnote w:type="continuationSeparator" w:id="0">
    <w:p w14:paraId="24425903" w14:textId="77777777" w:rsidR="00B07EC9" w:rsidRDefault="00B0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922E2" w14:paraId="1829140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CF6AFCB" w14:textId="77777777" w:rsidR="001922E2" w:rsidRDefault="00B07EC9">
          <w:pPr>
            <w:jc w:val="left"/>
            <w:rPr>
              <w:sz w:val="18"/>
            </w:rPr>
          </w:pPr>
          <w:r>
            <w:rPr>
              <w:sz w:val="18"/>
            </w:rPr>
            <w:t>Id: 7EFA399B-B3E1-418B-85B9-52FD2BC0A660.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C2F474" w14:textId="77777777" w:rsidR="001922E2" w:rsidRDefault="00B07E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815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F3381F" w14:textId="77777777" w:rsidR="001922E2" w:rsidRDefault="001922E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922E2" w14:paraId="2EB7CB0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91445B" w14:textId="77777777" w:rsidR="001922E2" w:rsidRDefault="00B07EC9">
          <w:pPr>
            <w:jc w:val="left"/>
            <w:rPr>
              <w:sz w:val="18"/>
            </w:rPr>
          </w:pPr>
          <w:r>
            <w:rPr>
              <w:sz w:val="18"/>
            </w:rPr>
            <w:t>Id: 7EFA399B-B3E1-418B-85B9-52FD2BC0A660.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F83937" w14:textId="77777777" w:rsidR="001922E2" w:rsidRDefault="00B07E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8155A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5BF46910" w14:textId="77777777" w:rsidR="001922E2" w:rsidRDefault="001922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B135E" w14:textId="77777777" w:rsidR="00B07EC9" w:rsidRDefault="00B07EC9">
      <w:r>
        <w:separator/>
      </w:r>
    </w:p>
  </w:footnote>
  <w:footnote w:type="continuationSeparator" w:id="0">
    <w:p w14:paraId="020883EF" w14:textId="77777777" w:rsidR="00B07EC9" w:rsidRDefault="00B0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E2"/>
    <w:rsid w:val="001922E2"/>
    <w:rsid w:val="009E42B0"/>
    <w:rsid w:val="00A8155A"/>
    <w:rsid w:val="00B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40D61-0404-4F64-AAFA-A0B2301A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6E46DF75</Template>
  <TotalTime>0</TotalTime>
  <Pages>8</Pages>
  <Words>2571</Words>
  <Characters>15427</Characters>
  <Application>Microsoft Office Word</Application>
  <DocSecurity>4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Czarnków</Company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regulaminu dotyczącego niektórych zasad wynagradzania nauczycieli w^szkołach i^przedszkolach prowadzonych przez Gminę Miasta Czarnków</dc:subject>
  <dc:creator>raczka_b</dc:creator>
  <cp:lastModifiedBy>Lucyna Żwawiak</cp:lastModifiedBy>
  <cp:revision>2</cp:revision>
  <dcterms:created xsi:type="dcterms:W3CDTF">2019-08-19T07:06:00Z</dcterms:created>
  <dcterms:modified xsi:type="dcterms:W3CDTF">2019-08-19T07:06:00Z</dcterms:modified>
  <cp:category>Akt prawny</cp:category>
</cp:coreProperties>
</file>