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367" w:rsidRPr="00765367" w:rsidRDefault="00765367" w:rsidP="002B4053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22"/>
          <w:szCs w:val="22"/>
          <w:lang w:eastAsia="en-US"/>
        </w:rPr>
      </w:pPr>
      <w:r w:rsidRPr="00765367">
        <w:rPr>
          <w:b/>
          <w:bCs/>
          <w:color w:val="000000"/>
          <w:sz w:val="22"/>
          <w:szCs w:val="22"/>
          <w:lang w:eastAsia="en-US"/>
        </w:rPr>
        <w:t>OGŁOSZENI</w:t>
      </w:r>
      <w:r w:rsidR="00523E62">
        <w:rPr>
          <w:b/>
          <w:bCs/>
          <w:color w:val="000000"/>
          <w:sz w:val="22"/>
          <w:szCs w:val="22"/>
          <w:lang w:eastAsia="en-US"/>
        </w:rPr>
        <w:t>E</w:t>
      </w:r>
      <w:r w:rsidRPr="00765367">
        <w:rPr>
          <w:b/>
          <w:bCs/>
          <w:color w:val="000000"/>
          <w:sz w:val="22"/>
          <w:szCs w:val="22"/>
          <w:lang w:eastAsia="en-US"/>
        </w:rPr>
        <w:t xml:space="preserve"> O PRZETARGU USTNYM NIEOGRANICZONYM</w:t>
      </w:r>
    </w:p>
    <w:p w:rsidR="00523E62" w:rsidRDefault="00765367" w:rsidP="002B4053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20"/>
          <w:szCs w:val="20"/>
          <w:lang w:eastAsia="en-US"/>
        </w:rPr>
      </w:pPr>
      <w:r>
        <w:rPr>
          <w:b/>
          <w:bCs/>
          <w:color w:val="000000"/>
          <w:sz w:val="20"/>
          <w:szCs w:val="20"/>
          <w:lang w:eastAsia="en-US"/>
        </w:rPr>
        <w:t>BURMISTRZ MIASTA CZARNKÓW</w:t>
      </w:r>
      <w:r w:rsidRPr="00765367">
        <w:rPr>
          <w:b/>
          <w:bCs/>
          <w:color w:val="000000"/>
          <w:sz w:val="20"/>
          <w:szCs w:val="20"/>
          <w:lang w:eastAsia="en-US"/>
        </w:rPr>
        <w:t xml:space="preserve"> </w:t>
      </w:r>
      <w:r w:rsidR="00523E62">
        <w:rPr>
          <w:b/>
          <w:bCs/>
          <w:color w:val="000000"/>
          <w:sz w:val="20"/>
          <w:szCs w:val="20"/>
          <w:lang w:eastAsia="en-US"/>
        </w:rPr>
        <w:t>OGŁASZA</w:t>
      </w:r>
    </w:p>
    <w:p w:rsidR="000D3224" w:rsidRDefault="000D3224" w:rsidP="002B4053">
      <w:pPr>
        <w:autoSpaceDE w:val="0"/>
        <w:autoSpaceDN w:val="0"/>
        <w:adjustRightInd w:val="0"/>
        <w:spacing w:line="240" w:lineRule="auto"/>
        <w:jc w:val="center"/>
        <w:rPr>
          <w:color w:val="000000"/>
          <w:lang w:eastAsia="en-US"/>
        </w:rPr>
      </w:pPr>
    </w:p>
    <w:p w:rsidR="00523E62" w:rsidRDefault="00765367" w:rsidP="002B4053">
      <w:pPr>
        <w:autoSpaceDE w:val="0"/>
        <w:autoSpaceDN w:val="0"/>
        <w:adjustRightInd w:val="0"/>
        <w:spacing w:line="240" w:lineRule="auto"/>
        <w:jc w:val="center"/>
        <w:rPr>
          <w:color w:val="000000"/>
          <w:lang w:eastAsia="en-US"/>
        </w:rPr>
      </w:pPr>
      <w:r w:rsidRPr="00BB2383">
        <w:rPr>
          <w:color w:val="000000"/>
          <w:lang w:eastAsia="en-US"/>
        </w:rPr>
        <w:t>przetarg ustny</w:t>
      </w:r>
      <w:r w:rsidR="00523E62" w:rsidRPr="00BB2383">
        <w:rPr>
          <w:color w:val="000000"/>
          <w:lang w:eastAsia="en-US"/>
        </w:rPr>
        <w:t xml:space="preserve"> </w:t>
      </w:r>
      <w:r w:rsidRPr="00BB2383">
        <w:rPr>
          <w:color w:val="000000"/>
          <w:lang w:eastAsia="en-US"/>
        </w:rPr>
        <w:t xml:space="preserve">nieograniczony na </w:t>
      </w:r>
      <w:r w:rsidR="00504EA5">
        <w:rPr>
          <w:color w:val="000000"/>
          <w:lang w:eastAsia="en-US"/>
        </w:rPr>
        <w:t>zbycie</w:t>
      </w:r>
      <w:r w:rsidR="00523E62" w:rsidRPr="00BB2383">
        <w:rPr>
          <w:color w:val="000000"/>
          <w:lang w:eastAsia="en-US"/>
        </w:rPr>
        <w:t xml:space="preserve"> </w:t>
      </w:r>
      <w:r w:rsidRPr="00BB2383">
        <w:rPr>
          <w:color w:val="000000"/>
          <w:lang w:eastAsia="en-US"/>
        </w:rPr>
        <w:t xml:space="preserve">nieruchomości </w:t>
      </w:r>
      <w:r w:rsidR="0089058B">
        <w:rPr>
          <w:color w:val="000000"/>
          <w:lang w:eastAsia="en-US"/>
        </w:rPr>
        <w:t>zabudowanej</w:t>
      </w:r>
      <w:r w:rsidR="00523E62" w:rsidRPr="00BB2383">
        <w:rPr>
          <w:color w:val="000000"/>
          <w:lang w:eastAsia="en-US"/>
        </w:rPr>
        <w:t>:</w:t>
      </w:r>
    </w:p>
    <w:p w:rsidR="00281F4F" w:rsidRDefault="00281F4F" w:rsidP="002B4053">
      <w:pPr>
        <w:autoSpaceDE w:val="0"/>
        <w:autoSpaceDN w:val="0"/>
        <w:adjustRightInd w:val="0"/>
        <w:spacing w:line="240" w:lineRule="auto"/>
        <w:jc w:val="center"/>
        <w:rPr>
          <w:color w:val="000000"/>
          <w:lang w:eastAsia="en-US"/>
        </w:rPr>
      </w:pPr>
    </w:p>
    <w:p w:rsidR="007D3904" w:rsidRPr="00504EA5" w:rsidRDefault="00504EA5" w:rsidP="00504EA5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16"/>
          <w:szCs w:val="16"/>
          <w:lang w:eastAsia="en-US"/>
        </w:rPr>
      </w:pPr>
      <w:r w:rsidRPr="00504EA5">
        <w:rPr>
          <w:color w:val="000000"/>
          <w:sz w:val="16"/>
          <w:szCs w:val="16"/>
          <w:lang w:eastAsia="en-US"/>
        </w:rPr>
        <w:t>Znak sprawy</w:t>
      </w:r>
      <w:r>
        <w:rPr>
          <w:color w:val="000000"/>
          <w:sz w:val="16"/>
          <w:szCs w:val="16"/>
          <w:lang w:eastAsia="en-US"/>
        </w:rPr>
        <w:t>: GN.6840.6.2019</w:t>
      </w:r>
    </w:p>
    <w:tbl>
      <w:tblPr>
        <w:tblW w:w="104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5"/>
        <w:gridCol w:w="6510"/>
      </w:tblGrid>
      <w:tr w:rsidR="002235D0" w:rsidRPr="00EE7730" w:rsidTr="007D3904">
        <w:tc>
          <w:tcPr>
            <w:tcW w:w="3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5D0" w:rsidRPr="00EC5B30" w:rsidRDefault="002235D0" w:rsidP="0089058B">
            <w:pPr>
              <w:spacing w:line="240" w:lineRule="auto"/>
              <w:rPr>
                <w:b/>
              </w:rPr>
            </w:pPr>
            <w:r w:rsidRPr="00EC5B30">
              <w:rPr>
                <w:b/>
              </w:rPr>
              <w:t>Oznaczenie nieruchomości wg:</w:t>
            </w:r>
          </w:p>
          <w:p w:rsidR="002235D0" w:rsidRPr="00EC5B30" w:rsidRDefault="002235D0" w:rsidP="0089058B">
            <w:pPr>
              <w:spacing w:line="240" w:lineRule="auto"/>
              <w:rPr>
                <w:b/>
              </w:rPr>
            </w:pPr>
            <w:r w:rsidRPr="00EC5B30">
              <w:rPr>
                <w:b/>
              </w:rPr>
              <w:t xml:space="preserve">       księgi wieczystej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D0" w:rsidRPr="00EE7730" w:rsidRDefault="002235D0" w:rsidP="0089058B">
            <w:pPr>
              <w:spacing w:line="240" w:lineRule="auto"/>
            </w:pPr>
            <w:r w:rsidRPr="00EE7730">
              <w:t xml:space="preserve">Sąd Rejonowy w Trzciance – Zamiejscowy Wydział Ksiąg Wieczystych w Czarnkowie </w:t>
            </w:r>
          </w:p>
        </w:tc>
      </w:tr>
      <w:tr w:rsidR="002235D0" w:rsidRPr="00EE7730" w:rsidTr="007D3904">
        <w:tc>
          <w:tcPr>
            <w:tcW w:w="3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D0" w:rsidRPr="00EC5B30" w:rsidRDefault="002235D0" w:rsidP="0089058B">
            <w:pPr>
              <w:spacing w:line="240" w:lineRule="auto"/>
              <w:rPr>
                <w:b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D0" w:rsidRPr="00EE7730" w:rsidRDefault="0089058B" w:rsidP="0089058B">
            <w:pPr>
              <w:spacing w:line="240" w:lineRule="auto"/>
              <w:jc w:val="center"/>
            </w:pPr>
            <w:r>
              <w:t>PO2T/00026205/9</w:t>
            </w:r>
          </w:p>
        </w:tc>
      </w:tr>
      <w:tr w:rsidR="00504EA5" w:rsidRPr="00EE7730" w:rsidTr="0086701C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A5" w:rsidRPr="00EC5B30" w:rsidRDefault="00504EA5" w:rsidP="0089058B">
            <w:pPr>
              <w:spacing w:line="240" w:lineRule="auto"/>
              <w:rPr>
                <w:b/>
              </w:rPr>
            </w:pPr>
            <w:r w:rsidRPr="00EC5B30">
              <w:rPr>
                <w:b/>
              </w:rPr>
              <w:t xml:space="preserve">       katastru nieruchomości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A5" w:rsidRPr="00EE7730" w:rsidRDefault="00504EA5" w:rsidP="0089058B">
            <w:pPr>
              <w:spacing w:line="240" w:lineRule="auto"/>
              <w:jc w:val="center"/>
            </w:pPr>
            <w:r>
              <w:t>858</w:t>
            </w:r>
          </w:p>
        </w:tc>
      </w:tr>
      <w:tr w:rsidR="00504EA5" w:rsidRPr="007A14F7" w:rsidTr="00A74B02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A5" w:rsidRPr="00EC5B30" w:rsidRDefault="00504EA5" w:rsidP="0089058B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Powierzchnia 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A5" w:rsidRDefault="00504EA5" w:rsidP="0089058B">
            <w:pPr>
              <w:spacing w:line="240" w:lineRule="auto"/>
              <w:jc w:val="center"/>
            </w:pPr>
            <w:r>
              <w:t>562 m</w:t>
            </w:r>
            <w:r>
              <w:rPr>
                <w:vertAlign w:val="superscript"/>
              </w:rPr>
              <w:t>2</w:t>
            </w:r>
          </w:p>
        </w:tc>
      </w:tr>
      <w:tr w:rsidR="0059035F" w:rsidRPr="00EE7730" w:rsidTr="007D3904">
        <w:trPr>
          <w:trHeight w:val="26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35F" w:rsidRPr="00EC5B30" w:rsidRDefault="0059035F" w:rsidP="0089058B">
            <w:pPr>
              <w:spacing w:line="240" w:lineRule="auto"/>
              <w:rPr>
                <w:b/>
              </w:rPr>
            </w:pPr>
            <w:r>
              <w:rPr>
                <w:b/>
              </w:rPr>
              <w:t>Obręb geodezyjny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35F" w:rsidRDefault="0059035F" w:rsidP="0059035F">
            <w:pPr>
              <w:spacing w:line="240" w:lineRule="auto"/>
              <w:jc w:val="center"/>
            </w:pPr>
            <w:r>
              <w:t>0001</w:t>
            </w:r>
          </w:p>
        </w:tc>
      </w:tr>
      <w:tr w:rsidR="00CD2ACA" w:rsidRPr="00EE7730" w:rsidTr="00CD2ACA">
        <w:trPr>
          <w:trHeight w:val="838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ACA" w:rsidRPr="00EC5B30" w:rsidRDefault="00CD2ACA" w:rsidP="00CD2ACA">
            <w:pPr>
              <w:spacing w:line="240" w:lineRule="auto"/>
              <w:rPr>
                <w:b/>
              </w:rPr>
            </w:pPr>
            <w:r w:rsidRPr="00EC5B30">
              <w:rPr>
                <w:b/>
              </w:rPr>
              <w:t>Opis nieruchomości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ACA" w:rsidRDefault="00CD2ACA" w:rsidP="00CD2ACA">
            <w:pPr>
              <w:spacing w:line="240" w:lineRule="auto"/>
            </w:pPr>
            <w:r>
              <w:t>Nieruchomość</w:t>
            </w:r>
            <w:r w:rsidR="00504EA5">
              <w:t xml:space="preserve"> zabudowana</w:t>
            </w:r>
            <w:r>
              <w:t xml:space="preserve"> zespołem budynków na cele mieszkaniowe, położona w Czarnkowie, powiat czarnkowsko-trzcianecki, na placu Powstańców Wlkp. nr 1. </w:t>
            </w:r>
          </w:p>
          <w:p w:rsidR="00CD2ACA" w:rsidRDefault="00CD2ACA" w:rsidP="00CD2ACA">
            <w:pPr>
              <w:spacing w:line="240" w:lineRule="auto"/>
            </w:pPr>
            <w:r>
              <w:t>Ze względu na niekorzystny stan techniczny wykwaterowano lokatorów. Nie sporządzono ekspertyzy budowlanej.</w:t>
            </w:r>
          </w:p>
          <w:p w:rsidR="00281F4F" w:rsidRDefault="00CD2ACA" w:rsidP="00CD2ACA">
            <w:pPr>
              <w:spacing w:line="240" w:lineRule="auto"/>
            </w:pPr>
            <w:r>
              <w:t xml:space="preserve">Nieruchomość podlega ochronie konserwatorskiej zabytków. </w:t>
            </w:r>
          </w:p>
          <w:p w:rsidR="00CD2ACA" w:rsidRDefault="00504EA5" w:rsidP="00CD2ACA">
            <w:pPr>
              <w:spacing w:line="240" w:lineRule="auto"/>
            </w:pPr>
            <w:r>
              <w:t>W przypadku rozbiórki wszystkich budynków i przystąpienia do nowej zabudowy, u</w:t>
            </w:r>
            <w:r w:rsidR="00CD2ACA">
              <w:t xml:space="preserve">zgodniono z Wojewódzkim Urzędem Ochrony Zabytków w Poznaniu przesunięcie linii zabudowy do północnej granicy działki 1140/2.  </w:t>
            </w:r>
          </w:p>
        </w:tc>
      </w:tr>
      <w:tr w:rsidR="00CD2ACA" w:rsidRPr="004F4666" w:rsidTr="00B41862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CA" w:rsidRPr="00EC5B30" w:rsidRDefault="00CD2ACA" w:rsidP="00CD2ACA">
            <w:pPr>
              <w:spacing w:line="240" w:lineRule="auto"/>
              <w:rPr>
                <w:b/>
              </w:rPr>
            </w:pPr>
            <w:r w:rsidRPr="00EC5B30">
              <w:rPr>
                <w:b/>
              </w:rPr>
              <w:t>Przeznaczenie w miejscowym planie</w:t>
            </w:r>
            <w:r>
              <w:rPr>
                <w:b/>
              </w:rPr>
              <w:t xml:space="preserve"> zagospodarowania przestrzennego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CA" w:rsidRPr="000B317C" w:rsidRDefault="00CD2ACA" w:rsidP="00CD2ACA">
            <w:pPr>
              <w:spacing w:line="240" w:lineRule="auto"/>
            </w:pPr>
            <w:r>
              <w:t xml:space="preserve">Nieruchomość oznaczona w </w:t>
            </w:r>
            <w:proofErr w:type="spellStart"/>
            <w:r>
              <w:t>m.p.z.p</w:t>
            </w:r>
            <w:proofErr w:type="spellEnd"/>
            <w:r>
              <w:t>. śródmieścia Czarnkowa symbolem 28MU</w:t>
            </w:r>
            <w:r>
              <w:rPr>
                <w:vertAlign w:val="superscript"/>
              </w:rPr>
              <w:t>z</w:t>
            </w:r>
            <w:r>
              <w:t xml:space="preserve"> – teren zabudowy mieszkaniowo – usługowej. </w:t>
            </w:r>
          </w:p>
        </w:tc>
      </w:tr>
      <w:tr w:rsidR="00CD2ACA" w:rsidRPr="004F4666" w:rsidTr="007D3904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CA" w:rsidRPr="00EC5B30" w:rsidRDefault="00CD2ACA" w:rsidP="00CD2ACA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Sposób i termin zagospodarowania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CA" w:rsidRDefault="00504EA5" w:rsidP="00CD2ACA">
            <w:pPr>
              <w:spacing w:line="240" w:lineRule="auto"/>
            </w:pPr>
            <w:r>
              <w:t>Bezterminowo, wskazana rozbiórka ze względu na zły stan techniczny wszystkich budynków.</w:t>
            </w:r>
          </w:p>
        </w:tc>
      </w:tr>
      <w:tr w:rsidR="00CD2ACA" w:rsidRPr="004F4666" w:rsidTr="007D3904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CA" w:rsidRDefault="00504EA5" w:rsidP="00CD2ACA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Wady </w:t>
            </w:r>
            <w:r w:rsidR="00890524">
              <w:rPr>
                <w:b/>
              </w:rPr>
              <w:t>(</w:t>
            </w:r>
            <w:r>
              <w:rPr>
                <w:b/>
              </w:rPr>
              <w:t>ciężary</w:t>
            </w:r>
            <w:r w:rsidR="00890524">
              <w:rPr>
                <w:b/>
              </w:rPr>
              <w:t xml:space="preserve"> i ograniczenia)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41" w:rsidRDefault="00890524" w:rsidP="00CD2ACA">
            <w:pPr>
              <w:spacing w:line="240" w:lineRule="auto"/>
            </w:pPr>
            <w:r>
              <w:t xml:space="preserve">W przypadku przystąpienia do rozbiórki oraz ubiegania się do pozwolenia na budowę, nabywca nieruchomości zobowiązany jest pozyskać od Gminy Miasta Czarnków  </w:t>
            </w:r>
            <w:r>
              <w:t>praw</w:t>
            </w:r>
            <w:r>
              <w:t>o</w:t>
            </w:r>
            <w:r>
              <w:t xml:space="preserve"> do dysponowania nieruchomością</w:t>
            </w:r>
            <w:r>
              <w:t xml:space="preserve"> oznaczoną numerem działki 1140/2</w:t>
            </w:r>
            <w:r>
              <w:t xml:space="preserve"> na cele budowlane</w:t>
            </w:r>
            <w:r>
              <w:t>.</w:t>
            </w:r>
          </w:p>
        </w:tc>
      </w:tr>
    </w:tbl>
    <w:p w:rsidR="00605DAB" w:rsidRDefault="00605DAB" w:rsidP="00605DAB">
      <w:pPr>
        <w:autoSpaceDE w:val="0"/>
        <w:autoSpaceDN w:val="0"/>
        <w:adjustRightInd w:val="0"/>
        <w:spacing w:line="240" w:lineRule="auto"/>
        <w:rPr>
          <w:b/>
          <w:bCs/>
          <w:color w:val="000000"/>
          <w:lang w:eastAsia="en-US"/>
        </w:rPr>
      </w:pPr>
    </w:p>
    <w:p w:rsidR="00605DAB" w:rsidRDefault="00605DAB" w:rsidP="00605DAB">
      <w:pPr>
        <w:autoSpaceDE w:val="0"/>
        <w:autoSpaceDN w:val="0"/>
        <w:adjustRightInd w:val="0"/>
        <w:spacing w:line="240" w:lineRule="auto"/>
        <w:rPr>
          <w:b/>
          <w:bCs/>
          <w:color w:val="000000"/>
          <w:lang w:eastAsia="en-US"/>
        </w:rPr>
      </w:pPr>
      <w:r w:rsidRPr="00017A69">
        <w:rPr>
          <w:b/>
          <w:bCs/>
          <w:color w:val="000000"/>
          <w:lang w:eastAsia="en-US"/>
        </w:rPr>
        <w:t xml:space="preserve">Cena wywoławcza nieruchomości wynosi </w:t>
      </w:r>
      <w:r>
        <w:rPr>
          <w:b/>
          <w:bCs/>
          <w:color w:val="000000"/>
          <w:lang w:eastAsia="en-US"/>
        </w:rPr>
        <w:t>400</w:t>
      </w:r>
      <w:r w:rsidRPr="00017A69">
        <w:rPr>
          <w:b/>
          <w:bCs/>
          <w:color w:val="000000"/>
          <w:lang w:eastAsia="en-US"/>
        </w:rPr>
        <w:t xml:space="preserve">.000,00 zł </w:t>
      </w:r>
    </w:p>
    <w:p w:rsidR="00605DAB" w:rsidRPr="00017A69" w:rsidRDefault="00605DAB" w:rsidP="00605DAB">
      <w:pPr>
        <w:autoSpaceDE w:val="0"/>
        <w:autoSpaceDN w:val="0"/>
        <w:adjustRightInd w:val="0"/>
        <w:spacing w:line="240" w:lineRule="auto"/>
        <w:rPr>
          <w:color w:val="000000"/>
          <w:lang w:eastAsia="en-US"/>
        </w:rPr>
      </w:pPr>
      <w:r w:rsidRPr="00017A69">
        <w:rPr>
          <w:color w:val="000000"/>
          <w:lang w:eastAsia="en-US"/>
        </w:rPr>
        <w:t>(</w:t>
      </w:r>
      <w:r w:rsidRPr="00605DAB">
        <w:rPr>
          <w:color w:val="000000"/>
          <w:sz w:val="22"/>
          <w:szCs w:val="22"/>
          <w:lang w:eastAsia="en-US"/>
        </w:rPr>
        <w:t>Sprzedaż zwolniona z podatku VAT na podstawie a</w:t>
      </w:r>
      <w:r w:rsidRPr="00605DAB">
        <w:rPr>
          <w:sz w:val="22"/>
          <w:szCs w:val="22"/>
        </w:rPr>
        <w:t xml:space="preserve">rt. 43 ust. 1 pkt 10 ustawy o </w:t>
      </w:r>
      <w:r w:rsidR="00912299">
        <w:rPr>
          <w:sz w:val="22"/>
          <w:szCs w:val="22"/>
        </w:rPr>
        <w:t>podatku od towarów i usług</w:t>
      </w:r>
      <w:r w:rsidRPr="00017A69">
        <w:rPr>
          <w:color w:val="000000"/>
          <w:lang w:eastAsia="en-US"/>
        </w:rPr>
        <w:t xml:space="preserve">). </w:t>
      </w:r>
    </w:p>
    <w:p w:rsidR="00CD2ACA" w:rsidRDefault="00CD2ACA" w:rsidP="00765367">
      <w:pPr>
        <w:autoSpaceDE w:val="0"/>
        <w:autoSpaceDN w:val="0"/>
        <w:adjustRightInd w:val="0"/>
        <w:spacing w:line="240" w:lineRule="auto"/>
        <w:rPr>
          <w:b/>
          <w:bCs/>
          <w:color w:val="000000"/>
          <w:lang w:eastAsia="en-US"/>
        </w:rPr>
      </w:pPr>
    </w:p>
    <w:p w:rsidR="00912299" w:rsidRPr="004E707F" w:rsidRDefault="00912299" w:rsidP="00912299">
      <w:pPr>
        <w:spacing w:line="240" w:lineRule="auto"/>
        <w:rPr>
          <w:sz w:val="22"/>
          <w:szCs w:val="22"/>
        </w:rPr>
      </w:pPr>
      <w:r w:rsidRPr="00AA1AED">
        <w:rPr>
          <w:b/>
          <w:bCs/>
          <w:color w:val="000000"/>
          <w:sz w:val="22"/>
          <w:szCs w:val="22"/>
          <w:lang w:eastAsia="en-US"/>
        </w:rPr>
        <w:t xml:space="preserve">Wadium w gotówce </w:t>
      </w:r>
      <w:r w:rsidRPr="00AA1AED">
        <w:rPr>
          <w:bCs/>
          <w:color w:val="000000"/>
          <w:sz w:val="22"/>
          <w:szCs w:val="22"/>
          <w:lang w:eastAsia="en-US"/>
        </w:rPr>
        <w:t xml:space="preserve">w wysokości </w:t>
      </w:r>
      <w:r>
        <w:rPr>
          <w:b/>
          <w:bCs/>
          <w:color w:val="000000"/>
          <w:sz w:val="22"/>
          <w:szCs w:val="22"/>
          <w:lang w:eastAsia="en-US"/>
        </w:rPr>
        <w:t>8</w:t>
      </w:r>
      <w:r w:rsidRPr="00AA1AED">
        <w:rPr>
          <w:b/>
          <w:bCs/>
          <w:color w:val="000000"/>
          <w:sz w:val="22"/>
          <w:szCs w:val="22"/>
          <w:lang w:eastAsia="en-US"/>
        </w:rPr>
        <w:t xml:space="preserve">0.000,00 zł </w:t>
      </w:r>
      <w:r w:rsidRPr="00AA1AED">
        <w:rPr>
          <w:bCs/>
          <w:color w:val="000000"/>
          <w:sz w:val="22"/>
          <w:szCs w:val="22"/>
          <w:lang w:eastAsia="en-US"/>
        </w:rPr>
        <w:t xml:space="preserve">należy wpłacić najpóźniej do dnia </w:t>
      </w:r>
      <w:r>
        <w:rPr>
          <w:b/>
          <w:bCs/>
          <w:color w:val="000000"/>
          <w:sz w:val="22"/>
          <w:szCs w:val="22"/>
          <w:lang w:eastAsia="en-US"/>
        </w:rPr>
        <w:t>31</w:t>
      </w:r>
      <w:r w:rsidRPr="00AA1AED">
        <w:rPr>
          <w:b/>
          <w:bCs/>
          <w:color w:val="000000"/>
          <w:sz w:val="22"/>
          <w:szCs w:val="22"/>
          <w:lang w:eastAsia="en-US"/>
        </w:rPr>
        <w:t xml:space="preserve"> </w:t>
      </w:r>
      <w:r>
        <w:rPr>
          <w:b/>
          <w:bCs/>
          <w:color w:val="000000"/>
          <w:sz w:val="22"/>
          <w:szCs w:val="22"/>
          <w:lang w:eastAsia="en-US"/>
        </w:rPr>
        <w:t>stycznia</w:t>
      </w:r>
      <w:r w:rsidRPr="00AA1AED">
        <w:rPr>
          <w:b/>
          <w:bCs/>
          <w:color w:val="000000"/>
          <w:sz w:val="22"/>
          <w:szCs w:val="22"/>
          <w:lang w:eastAsia="en-US"/>
        </w:rPr>
        <w:t xml:space="preserve"> 20</w:t>
      </w:r>
      <w:r>
        <w:rPr>
          <w:b/>
          <w:bCs/>
          <w:color w:val="000000"/>
          <w:sz w:val="22"/>
          <w:szCs w:val="22"/>
          <w:lang w:eastAsia="en-US"/>
        </w:rPr>
        <w:t>20</w:t>
      </w:r>
      <w:r w:rsidRPr="00AA1AED">
        <w:rPr>
          <w:b/>
          <w:bCs/>
          <w:color w:val="000000"/>
          <w:sz w:val="22"/>
          <w:szCs w:val="22"/>
          <w:lang w:eastAsia="en-US"/>
        </w:rPr>
        <w:t xml:space="preserve"> r</w:t>
      </w:r>
      <w:r w:rsidRPr="00AA1AED">
        <w:rPr>
          <w:bCs/>
          <w:color w:val="000000"/>
          <w:sz w:val="22"/>
          <w:szCs w:val="22"/>
          <w:lang w:eastAsia="en-US"/>
        </w:rPr>
        <w:t xml:space="preserve">. na rachunek Bankowy Urzędu Miasta Czarnków nr 50 1020 4027 0000 1402 0782 2093. </w:t>
      </w:r>
      <w:r w:rsidRPr="00AA1AED">
        <w:rPr>
          <w:sz w:val="22"/>
          <w:szCs w:val="22"/>
        </w:rPr>
        <w:t>Za dzień zapłaty wadium przyjmuje się dzień uznania ww. rachunku bankowego.</w:t>
      </w:r>
      <w:r>
        <w:rPr>
          <w:sz w:val="22"/>
          <w:szCs w:val="22"/>
        </w:rPr>
        <w:t xml:space="preserve"> </w:t>
      </w:r>
      <w:r w:rsidRPr="004E707F">
        <w:rPr>
          <w:sz w:val="22"/>
          <w:szCs w:val="22"/>
        </w:rPr>
        <w:t>Wadium zwraca się wszystkim uczestnikom przetargu za wyjątkiem uczestnika, który przetarg wygrał, niezwłocznie po odwołaniu albo zamknięciu przetargu, jednak nie później niż przed upływem 3 dni od dnia odwołania przetargu, zamknięcia przetargu, unieważnienia przetargu lub zakończenia przetargu wynikiem negatywnym.</w:t>
      </w:r>
    </w:p>
    <w:p w:rsidR="00912299" w:rsidRPr="004E707F" w:rsidRDefault="00912299" w:rsidP="00912299">
      <w:pPr>
        <w:spacing w:line="240" w:lineRule="auto"/>
        <w:rPr>
          <w:sz w:val="22"/>
          <w:szCs w:val="22"/>
        </w:rPr>
      </w:pPr>
      <w:r w:rsidRPr="004E707F">
        <w:rPr>
          <w:sz w:val="22"/>
          <w:szCs w:val="22"/>
        </w:rPr>
        <w:t>Wadium wniesione w pieniądzu przez uczestnika przetargu, który przetarg wygrał, zalicza się na poczet ceny nabycia nieruchomości.</w:t>
      </w:r>
    </w:p>
    <w:p w:rsidR="00912299" w:rsidRDefault="00912299" w:rsidP="00765367">
      <w:pPr>
        <w:autoSpaceDE w:val="0"/>
        <w:autoSpaceDN w:val="0"/>
        <w:adjustRightInd w:val="0"/>
        <w:spacing w:line="240" w:lineRule="auto"/>
        <w:rPr>
          <w:b/>
          <w:bCs/>
          <w:color w:val="000000"/>
          <w:lang w:eastAsia="en-US"/>
        </w:rPr>
      </w:pPr>
    </w:p>
    <w:p w:rsidR="00765367" w:rsidRPr="00FC0E7B" w:rsidRDefault="00765367" w:rsidP="00765367">
      <w:pPr>
        <w:autoSpaceDE w:val="0"/>
        <w:autoSpaceDN w:val="0"/>
        <w:adjustRightInd w:val="0"/>
        <w:spacing w:line="240" w:lineRule="auto"/>
        <w:rPr>
          <w:color w:val="000000"/>
          <w:lang w:eastAsia="en-US"/>
        </w:rPr>
      </w:pPr>
      <w:r w:rsidRPr="00FC0E7B">
        <w:rPr>
          <w:b/>
          <w:bCs/>
          <w:color w:val="000000"/>
          <w:lang w:eastAsia="en-US"/>
        </w:rPr>
        <w:t xml:space="preserve">Przetarg odbędzie się w </w:t>
      </w:r>
      <w:r w:rsidR="00381CBE">
        <w:rPr>
          <w:b/>
          <w:bCs/>
          <w:color w:val="000000"/>
          <w:lang w:eastAsia="en-US"/>
        </w:rPr>
        <w:t>6 lutego</w:t>
      </w:r>
      <w:r w:rsidR="000D3224">
        <w:rPr>
          <w:b/>
          <w:bCs/>
          <w:color w:val="000000"/>
          <w:lang w:eastAsia="en-US"/>
        </w:rPr>
        <w:t xml:space="preserve"> 20</w:t>
      </w:r>
      <w:r w:rsidR="00381CBE">
        <w:rPr>
          <w:b/>
          <w:bCs/>
          <w:color w:val="000000"/>
          <w:lang w:eastAsia="en-US"/>
        </w:rPr>
        <w:t>20</w:t>
      </w:r>
      <w:r w:rsidR="000D3224">
        <w:rPr>
          <w:b/>
          <w:bCs/>
          <w:color w:val="000000"/>
          <w:lang w:eastAsia="en-US"/>
        </w:rPr>
        <w:t xml:space="preserve"> roku</w:t>
      </w:r>
      <w:r w:rsidR="00F869FC" w:rsidRPr="00FC0E7B">
        <w:rPr>
          <w:b/>
          <w:color w:val="000000"/>
          <w:lang w:eastAsia="en-US"/>
        </w:rPr>
        <w:t xml:space="preserve"> r. </w:t>
      </w:r>
      <w:r w:rsidRPr="00FC0E7B">
        <w:rPr>
          <w:b/>
          <w:color w:val="000000"/>
          <w:lang w:eastAsia="en-US"/>
        </w:rPr>
        <w:t xml:space="preserve">o godz. </w:t>
      </w:r>
      <w:r w:rsidR="000D3224">
        <w:rPr>
          <w:b/>
          <w:color w:val="000000"/>
          <w:lang w:eastAsia="en-US"/>
        </w:rPr>
        <w:t>10.00</w:t>
      </w:r>
      <w:r w:rsidRPr="00FC0E7B">
        <w:rPr>
          <w:color w:val="000000"/>
          <w:lang w:eastAsia="en-US"/>
        </w:rPr>
        <w:t xml:space="preserve"> </w:t>
      </w:r>
      <w:r w:rsidRPr="00FC0E7B">
        <w:rPr>
          <w:b/>
          <w:bCs/>
          <w:color w:val="000000"/>
          <w:lang w:eastAsia="en-US"/>
        </w:rPr>
        <w:t xml:space="preserve">w siedzibie </w:t>
      </w:r>
      <w:r w:rsidR="00F869FC" w:rsidRPr="00FC0E7B">
        <w:rPr>
          <w:color w:val="000000"/>
          <w:lang w:eastAsia="en-US"/>
        </w:rPr>
        <w:t>Urzędu Miasta Czarnków</w:t>
      </w:r>
      <w:r w:rsidRPr="00FC0E7B">
        <w:rPr>
          <w:color w:val="000000"/>
          <w:lang w:eastAsia="en-US"/>
        </w:rPr>
        <w:t xml:space="preserve">, </w:t>
      </w:r>
      <w:r w:rsidR="007D3904">
        <w:rPr>
          <w:color w:val="000000"/>
          <w:lang w:eastAsia="en-US"/>
        </w:rPr>
        <w:br/>
      </w:r>
      <w:r w:rsidR="00F869FC" w:rsidRPr="00FC0E7B">
        <w:rPr>
          <w:color w:val="000000"/>
          <w:lang w:eastAsia="en-US"/>
        </w:rPr>
        <w:t xml:space="preserve">Pl. Wolności 6, w </w:t>
      </w:r>
      <w:bookmarkStart w:id="0" w:name="_GoBack"/>
      <w:bookmarkEnd w:id="0"/>
      <w:r w:rsidR="00F869FC" w:rsidRPr="00FC0E7B">
        <w:rPr>
          <w:color w:val="000000"/>
          <w:lang w:eastAsia="en-US"/>
        </w:rPr>
        <w:t xml:space="preserve">salce konferencyjnej </w:t>
      </w:r>
      <w:r w:rsidRPr="00FC0E7B">
        <w:rPr>
          <w:color w:val="000000"/>
          <w:lang w:eastAsia="en-US"/>
        </w:rPr>
        <w:t>nr 10</w:t>
      </w:r>
      <w:r w:rsidR="00F869FC" w:rsidRPr="00FC0E7B">
        <w:rPr>
          <w:color w:val="000000"/>
          <w:lang w:eastAsia="en-US"/>
        </w:rPr>
        <w:t>3 (wejście obok sekretariatu)</w:t>
      </w:r>
      <w:r w:rsidRPr="00FC0E7B">
        <w:rPr>
          <w:color w:val="000000"/>
          <w:lang w:eastAsia="en-US"/>
        </w:rPr>
        <w:t>.</w:t>
      </w:r>
    </w:p>
    <w:p w:rsidR="000D3224" w:rsidRDefault="000D3224" w:rsidP="004029B2">
      <w:pPr>
        <w:spacing w:line="240" w:lineRule="auto"/>
      </w:pPr>
    </w:p>
    <w:p w:rsidR="004029B2" w:rsidRDefault="004029B2" w:rsidP="004029B2">
      <w:pPr>
        <w:spacing w:line="240" w:lineRule="auto"/>
      </w:pPr>
      <w:r>
        <w:t xml:space="preserve">Uczestnik przetargu może, w terminie 7 dni od dnia ogłoszenia wyniku przetargu, zaskarżyć czynności </w:t>
      </w:r>
      <w:r w:rsidR="00281F4F">
        <w:t>z</w:t>
      </w:r>
      <w:r>
        <w:t xml:space="preserve">wiązane z przeprowadzeniem przetargu do Burmistrza Miasta Czarnków. </w:t>
      </w:r>
    </w:p>
    <w:p w:rsidR="004029B2" w:rsidRPr="00D46226" w:rsidRDefault="004029B2" w:rsidP="004029B2">
      <w:pPr>
        <w:widowControl w:val="0"/>
        <w:spacing w:line="240" w:lineRule="auto"/>
      </w:pPr>
      <w:r w:rsidRPr="00D46226">
        <w:t xml:space="preserve">Osoba reprezentująca w przetargu osobę prawną </w:t>
      </w:r>
      <w:r>
        <w:t xml:space="preserve">lub inną osobę fizyczną </w:t>
      </w:r>
      <w:r w:rsidRPr="00D46226">
        <w:t>winna okazać</w:t>
      </w:r>
      <w:r w:rsidR="00281F4F">
        <w:t xml:space="preserve"> stosowne</w:t>
      </w:r>
      <w:r w:rsidRPr="00D46226">
        <w:t xml:space="preserve"> </w:t>
      </w:r>
      <w:r w:rsidR="00281F4F">
        <w:t>pełnomocnictwo.</w:t>
      </w:r>
    </w:p>
    <w:p w:rsidR="004029B2" w:rsidRDefault="004029B2" w:rsidP="00765367">
      <w:pPr>
        <w:rPr>
          <w:iCs/>
          <w:color w:val="000000"/>
          <w:lang w:eastAsia="en-US"/>
        </w:rPr>
      </w:pPr>
    </w:p>
    <w:p w:rsidR="00281F4F" w:rsidRPr="00487A78" w:rsidRDefault="00281F4F" w:rsidP="00281F4F">
      <w:r w:rsidRPr="00487A78">
        <w:rPr>
          <w:iCs/>
          <w:color w:val="000000"/>
          <w:sz w:val="22"/>
          <w:szCs w:val="22"/>
          <w:lang w:eastAsia="en-US"/>
        </w:rPr>
        <w:t xml:space="preserve">Informacje szczegółowe można uzyskać w pokoju nr </w:t>
      </w:r>
      <w:r>
        <w:rPr>
          <w:iCs/>
          <w:color w:val="000000"/>
          <w:sz w:val="22"/>
          <w:szCs w:val="22"/>
          <w:lang w:eastAsia="en-US"/>
        </w:rPr>
        <w:t>212 lub telefonicznie 672552804.</w:t>
      </w:r>
    </w:p>
    <w:p w:rsidR="00281F4F" w:rsidRDefault="00281F4F" w:rsidP="00765367">
      <w:pPr>
        <w:rPr>
          <w:iCs/>
          <w:color w:val="000000"/>
          <w:lang w:eastAsia="en-US"/>
        </w:rPr>
      </w:pPr>
    </w:p>
    <w:sectPr w:rsidR="00281F4F" w:rsidSect="007D39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70262232"/>
    <w:multiLevelType w:val="multilevel"/>
    <w:tmpl w:val="161A367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67"/>
    <w:rsid w:val="000D3224"/>
    <w:rsid w:val="002235D0"/>
    <w:rsid w:val="00247AA3"/>
    <w:rsid w:val="00281E86"/>
    <w:rsid w:val="00281F4F"/>
    <w:rsid w:val="002B4053"/>
    <w:rsid w:val="002E5731"/>
    <w:rsid w:val="00316F46"/>
    <w:rsid w:val="00366B17"/>
    <w:rsid w:val="00381CBE"/>
    <w:rsid w:val="003B61FA"/>
    <w:rsid w:val="004029B2"/>
    <w:rsid w:val="00487A78"/>
    <w:rsid w:val="0050214A"/>
    <w:rsid w:val="00504EA5"/>
    <w:rsid w:val="00523E62"/>
    <w:rsid w:val="00535241"/>
    <w:rsid w:val="00557057"/>
    <w:rsid w:val="0059035F"/>
    <w:rsid w:val="005C3E14"/>
    <w:rsid w:val="00605DAB"/>
    <w:rsid w:val="006766FC"/>
    <w:rsid w:val="00765367"/>
    <w:rsid w:val="007D3904"/>
    <w:rsid w:val="00890524"/>
    <w:rsid w:val="0089058B"/>
    <w:rsid w:val="008E7677"/>
    <w:rsid w:val="008F13B6"/>
    <w:rsid w:val="00912299"/>
    <w:rsid w:val="00940426"/>
    <w:rsid w:val="009A4282"/>
    <w:rsid w:val="00BB2383"/>
    <w:rsid w:val="00BC4D35"/>
    <w:rsid w:val="00CD2ACA"/>
    <w:rsid w:val="00DD3D04"/>
    <w:rsid w:val="00E5046C"/>
    <w:rsid w:val="00E95502"/>
    <w:rsid w:val="00F869FC"/>
    <w:rsid w:val="00FC0E7B"/>
    <w:rsid w:val="00FD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197F5"/>
  <w15:chartTrackingRefBased/>
  <w15:docId w15:val="{4EB11AE2-A3AB-4131-B29D-42A1C0F65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6FC"/>
    <w:pPr>
      <w:spacing w:line="360" w:lineRule="auto"/>
      <w:jc w:val="both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66FC"/>
    <w:pPr>
      <w:keepNext/>
      <w:spacing w:line="240" w:lineRule="auto"/>
      <w:outlineLvl w:val="0"/>
    </w:pPr>
    <w:rPr>
      <w:i/>
      <w:iCs/>
    </w:rPr>
  </w:style>
  <w:style w:type="paragraph" w:styleId="Nagwek2">
    <w:name w:val="heading 2"/>
    <w:basedOn w:val="Normalny"/>
    <w:next w:val="Normalny"/>
    <w:link w:val="Nagwek2Znak"/>
    <w:qFormat/>
    <w:rsid w:val="006766FC"/>
    <w:pPr>
      <w:keepNext/>
      <w:ind w:left="5664" w:firstLine="708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66FC"/>
    <w:rPr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766FC"/>
    <w:rPr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3E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E14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8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05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21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6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6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F88A8C2C</Template>
  <TotalTime>295</TotalTime>
  <Pages>1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Janyska</dc:creator>
  <cp:keywords/>
  <dc:description/>
  <cp:lastModifiedBy>Jerzy Janyska</cp:lastModifiedBy>
  <cp:revision>16</cp:revision>
  <cp:lastPrinted>2018-12-18T12:03:00Z</cp:lastPrinted>
  <dcterms:created xsi:type="dcterms:W3CDTF">2016-02-17T09:49:00Z</dcterms:created>
  <dcterms:modified xsi:type="dcterms:W3CDTF">2019-12-12T11:53:00Z</dcterms:modified>
</cp:coreProperties>
</file>