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695C" w14:textId="4E2B4535" w:rsidR="00765367" w:rsidRPr="00765367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OGŁOSZENI</w:t>
      </w:r>
      <w:r w:rsidR="00523E62">
        <w:rPr>
          <w:b/>
          <w:bCs/>
          <w:color w:val="000000"/>
          <w:sz w:val="22"/>
          <w:szCs w:val="22"/>
          <w:lang w:eastAsia="en-US"/>
        </w:rPr>
        <w:t>E</w:t>
      </w:r>
      <w:r w:rsidRPr="00765367">
        <w:rPr>
          <w:b/>
          <w:bCs/>
          <w:color w:val="000000"/>
          <w:sz w:val="22"/>
          <w:szCs w:val="22"/>
          <w:lang w:eastAsia="en-US"/>
        </w:rPr>
        <w:t xml:space="preserve"> O </w:t>
      </w:r>
      <w:r w:rsidR="00B97301">
        <w:rPr>
          <w:b/>
          <w:bCs/>
          <w:color w:val="000000"/>
          <w:sz w:val="22"/>
          <w:szCs w:val="22"/>
          <w:lang w:eastAsia="en-US"/>
        </w:rPr>
        <w:t xml:space="preserve">DRUGIM </w:t>
      </w:r>
      <w:r w:rsidRPr="00765367">
        <w:rPr>
          <w:b/>
          <w:bCs/>
          <w:color w:val="000000"/>
          <w:sz w:val="22"/>
          <w:szCs w:val="22"/>
          <w:lang w:eastAsia="en-US"/>
        </w:rPr>
        <w:t>PRZETARGU USTNYM NIEOGRANICZONYM</w:t>
      </w:r>
    </w:p>
    <w:p w14:paraId="0699C8B7" w14:textId="77777777"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523E62">
        <w:rPr>
          <w:b/>
          <w:bCs/>
          <w:color w:val="000000"/>
          <w:sz w:val="20"/>
          <w:szCs w:val="20"/>
          <w:lang w:eastAsia="en-US"/>
        </w:rPr>
        <w:t>OGŁASZA</w:t>
      </w:r>
    </w:p>
    <w:p w14:paraId="54B5C33C" w14:textId="77777777" w:rsidR="000D3224" w:rsidRDefault="000D3224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14:paraId="5C0FBBD2" w14:textId="1E55B8D3" w:rsidR="00523E62" w:rsidRDefault="00B97301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drugi </w:t>
      </w:r>
      <w:r w:rsidR="00765367" w:rsidRPr="00BB2383">
        <w:rPr>
          <w:color w:val="000000"/>
          <w:lang w:eastAsia="en-US"/>
        </w:rPr>
        <w:t>przetarg ustny</w:t>
      </w:r>
      <w:r w:rsidR="00523E62" w:rsidRPr="00BB2383">
        <w:rPr>
          <w:color w:val="000000"/>
          <w:lang w:eastAsia="en-US"/>
        </w:rPr>
        <w:t xml:space="preserve"> </w:t>
      </w:r>
      <w:r w:rsidR="00765367" w:rsidRPr="00BB2383">
        <w:rPr>
          <w:color w:val="000000"/>
          <w:lang w:eastAsia="en-US"/>
        </w:rPr>
        <w:t xml:space="preserve">nieograniczony na </w:t>
      </w:r>
      <w:r w:rsidR="00504EA5">
        <w:rPr>
          <w:color w:val="000000"/>
          <w:lang w:eastAsia="en-US"/>
        </w:rPr>
        <w:t>zbycie</w:t>
      </w:r>
      <w:r w:rsidR="00523E62" w:rsidRPr="00BB2383">
        <w:rPr>
          <w:color w:val="000000"/>
          <w:lang w:eastAsia="en-US"/>
        </w:rPr>
        <w:t xml:space="preserve"> </w:t>
      </w:r>
      <w:r w:rsidR="00765367" w:rsidRPr="00BB2383">
        <w:rPr>
          <w:color w:val="000000"/>
          <w:lang w:eastAsia="en-US"/>
        </w:rPr>
        <w:t xml:space="preserve">nieruchomości </w:t>
      </w:r>
      <w:r w:rsidR="00785349">
        <w:rPr>
          <w:color w:val="000000"/>
          <w:lang w:eastAsia="en-US"/>
        </w:rPr>
        <w:t>gruntowej</w:t>
      </w:r>
      <w:r w:rsidR="00523E62" w:rsidRPr="00BB2383">
        <w:rPr>
          <w:color w:val="000000"/>
          <w:lang w:eastAsia="en-US"/>
        </w:rPr>
        <w:t>:</w:t>
      </w:r>
    </w:p>
    <w:p w14:paraId="62A55E20" w14:textId="77777777" w:rsidR="00281F4F" w:rsidRDefault="00281F4F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14:paraId="7D18CE9C" w14:textId="77777777" w:rsidR="007D3904" w:rsidRPr="00504EA5" w:rsidRDefault="00504EA5" w:rsidP="00504EA5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en-US"/>
        </w:rPr>
      </w:pPr>
      <w:r w:rsidRPr="00504EA5">
        <w:rPr>
          <w:color w:val="000000"/>
          <w:sz w:val="16"/>
          <w:szCs w:val="16"/>
          <w:lang w:eastAsia="en-US"/>
        </w:rPr>
        <w:t>Znak sprawy</w:t>
      </w:r>
      <w:r>
        <w:rPr>
          <w:color w:val="000000"/>
          <w:sz w:val="16"/>
          <w:szCs w:val="16"/>
          <w:lang w:eastAsia="en-US"/>
        </w:rPr>
        <w:t>: GN.6840</w:t>
      </w:r>
      <w:r w:rsidR="001F656A">
        <w:rPr>
          <w:color w:val="000000"/>
          <w:sz w:val="16"/>
          <w:szCs w:val="16"/>
          <w:lang w:eastAsia="en-US"/>
        </w:rPr>
        <w:t>.3</w:t>
      </w:r>
      <w:r>
        <w:rPr>
          <w:color w:val="000000"/>
          <w:sz w:val="16"/>
          <w:szCs w:val="16"/>
          <w:lang w:eastAsia="en-US"/>
        </w:rPr>
        <w:t>.20</w:t>
      </w:r>
      <w:r w:rsidR="00CF1BE5">
        <w:rPr>
          <w:color w:val="000000"/>
          <w:sz w:val="16"/>
          <w:szCs w:val="16"/>
          <w:lang w:eastAsia="en-US"/>
        </w:rPr>
        <w:t>20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510"/>
      </w:tblGrid>
      <w:tr w:rsidR="002235D0" w:rsidRPr="00EE7730" w14:paraId="2432A15A" w14:textId="77777777" w:rsidTr="007D3904"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2079" w14:textId="77777777"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Oznaczenie nieruchomości wg:</w:t>
            </w:r>
          </w:p>
          <w:p w14:paraId="14D987B8" w14:textId="77777777"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księgi wieczystej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570" w14:textId="77777777" w:rsidR="002235D0" w:rsidRPr="00EE7730" w:rsidRDefault="002235D0" w:rsidP="0089058B">
            <w:pPr>
              <w:spacing w:line="240" w:lineRule="auto"/>
            </w:pPr>
            <w:r w:rsidRPr="00EE7730">
              <w:t xml:space="preserve">Sąd Rejonowy w Trzciance – Zamiejscowy Wydział Ksiąg Wieczystych w Czarnkowie </w:t>
            </w:r>
          </w:p>
        </w:tc>
      </w:tr>
      <w:tr w:rsidR="002235D0" w:rsidRPr="00EE7730" w14:paraId="4D1B5FD4" w14:textId="77777777" w:rsidTr="007D390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051" w14:textId="77777777" w:rsidR="002235D0" w:rsidRPr="00EC5B30" w:rsidRDefault="002235D0" w:rsidP="0089058B">
            <w:pPr>
              <w:spacing w:line="240" w:lineRule="auto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D3A" w14:textId="77777777" w:rsidR="002235D0" w:rsidRPr="00EE7730" w:rsidRDefault="0089058B" w:rsidP="0089058B">
            <w:pPr>
              <w:spacing w:line="240" w:lineRule="auto"/>
              <w:jc w:val="center"/>
            </w:pPr>
            <w:r>
              <w:t>PO2T/000</w:t>
            </w:r>
            <w:r w:rsidR="00297D13">
              <w:t>43009/</w:t>
            </w:r>
            <w:r w:rsidR="00C74884">
              <w:t>0</w:t>
            </w:r>
          </w:p>
        </w:tc>
      </w:tr>
      <w:tr w:rsidR="00504EA5" w:rsidRPr="00EE7730" w14:paraId="4B6B90CF" w14:textId="77777777" w:rsidTr="0086701C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5FA" w14:textId="77777777" w:rsidR="00504EA5" w:rsidRPr="00EC5B30" w:rsidRDefault="00504EA5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katastru nieruchomości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91E" w14:textId="77777777" w:rsidR="00504EA5" w:rsidRPr="00EE7730" w:rsidRDefault="00785349" w:rsidP="0089058B">
            <w:pPr>
              <w:spacing w:line="240" w:lineRule="auto"/>
              <w:jc w:val="center"/>
            </w:pPr>
            <w:r>
              <w:t>312</w:t>
            </w:r>
            <w:r w:rsidR="00297D13">
              <w:t>6</w:t>
            </w:r>
          </w:p>
        </w:tc>
      </w:tr>
      <w:tr w:rsidR="00504EA5" w:rsidRPr="007A14F7" w14:paraId="0C0280C2" w14:textId="77777777" w:rsidTr="00A74B02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807" w14:textId="77777777" w:rsidR="00504EA5" w:rsidRPr="00EC5B30" w:rsidRDefault="00504EA5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4CA" w14:textId="77777777" w:rsidR="00504EA5" w:rsidRDefault="00C74884" w:rsidP="0089058B">
            <w:pPr>
              <w:spacing w:line="240" w:lineRule="auto"/>
              <w:jc w:val="center"/>
            </w:pPr>
            <w:r>
              <w:t>763</w:t>
            </w:r>
            <w:r w:rsidR="00504EA5">
              <w:t xml:space="preserve"> m</w:t>
            </w:r>
            <w:r w:rsidR="00504EA5">
              <w:rPr>
                <w:vertAlign w:val="superscript"/>
              </w:rPr>
              <w:t>2</w:t>
            </w:r>
          </w:p>
        </w:tc>
      </w:tr>
      <w:tr w:rsidR="0059035F" w:rsidRPr="00EE7730" w14:paraId="6899D670" w14:textId="77777777" w:rsidTr="007D3904">
        <w:trPr>
          <w:trHeight w:val="2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4EDE" w14:textId="77777777" w:rsidR="0059035F" w:rsidRPr="00EC5B30" w:rsidRDefault="0059035F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883EB" w14:textId="77777777" w:rsidR="0059035F" w:rsidRDefault="0059035F" w:rsidP="0059035F">
            <w:pPr>
              <w:spacing w:line="240" w:lineRule="auto"/>
              <w:jc w:val="center"/>
            </w:pPr>
            <w:r>
              <w:t>0001</w:t>
            </w:r>
          </w:p>
        </w:tc>
      </w:tr>
      <w:tr w:rsidR="00CD2ACA" w:rsidRPr="00EE7730" w14:paraId="0C0701EA" w14:textId="77777777" w:rsidTr="00CD2ACA">
        <w:trPr>
          <w:trHeight w:val="8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4817E" w14:textId="77777777"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Opis nieruchomości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B3D0" w14:textId="77777777" w:rsidR="00CD2ACA" w:rsidRDefault="00CD2ACA" w:rsidP="00CD2ACA">
            <w:pPr>
              <w:spacing w:line="240" w:lineRule="auto"/>
            </w:pPr>
            <w:r>
              <w:t>Nieruchomość</w:t>
            </w:r>
            <w:r w:rsidR="00504EA5">
              <w:t xml:space="preserve"> </w:t>
            </w:r>
            <w:r w:rsidR="00785349">
              <w:t xml:space="preserve">gruntowa </w:t>
            </w:r>
            <w:r>
              <w:t>położona w Czarnkowie</w:t>
            </w:r>
            <w:r w:rsidR="00CF1BE5">
              <w:t xml:space="preserve"> przy ul. Lawendowej</w:t>
            </w:r>
            <w:r>
              <w:t xml:space="preserve">, powiat czarnkowsko-trzcianecki, </w:t>
            </w:r>
            <w:r w:rsidR="007909AD">
              <w:t xml:space="preserve">przeznaczona pod zabudowę mieszkaniową jednorodzinną z zarezerwowanym numerem porządkowym </w:t>
            </w:r>
            <w:r w:rsidR="00C74884">
              <w:rPr>
                <w:b/>
                <w:bCs/>
              </w:rPr>
              <w:t>20</w:t>
            </w:r>
            <w:r w:rsidR="007909AD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CD2ACA" w:rsidRPr="004F4666" w14:paraId="532A1539" w14:textId="77777777" w:rsidTr="00B41862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F33" w14:textId="77777777"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Przeznaczenie w miejscowym planie</w:t>
            </w:r>
            <w:r>
              <w:rPr>
                <w:b/>
              </w:rPr>
              <w:t xml:space="preserve"> zagospodarowania przestrzennego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C0D" w14:textId="77777777" w:rsidR="00CD2ACA" w:rsidRPr="000B317C" w:rsidRDefault="00CD2ACA" w:rsidP="00CD2ACA">
            <w:pPr>
              <w:spacing w:line="240" w:lineRule="auto"/>
            </w:pPr>
            <w:r>
              <w:t xml:space="preserve">Nieruchomość oznaczona w </w:t>
            </w:r>
            <w:proofErr w:type="spellStart"/>
            <w:r>
              <w:t>m.p.z.p</w:t>
            </w:r>
            <w:proofErr w:type="spellEnd"/>
            <w:r>
              <w:t xml:space="preserve">. </w:t>
            </w:r>
            <w:r w:rsidR="007909AD">
              <w:t>w rejonie ul. Rolnej</w:t>
            </w:r>
            <w:r>
              <w:t xml:space="preserve"> symbolem </w:t>
            </w:r>
            <w:r w:rsidR="007909AD">
              <w:t>3MN/U</w:t>
            </w:r>
            <w:r>
              <w:t xml:space="preserve"> – </w:t>
            </w:r>
            <w:r w:rsidR="007909AD">
              <w:t>przeznaczenie podstawowe – zabudowa mieszkaniowa jednorodzinna, wolnostojąca; uzupełniające – budynki gospodarcze i garażowe</w:t>
            </w:r>
            <w:r>
              <w:t xml:space="preserve">. </w:t>
            </w:r>
          </w:p>
        </w:tc>
      </w:tr>
      <w:tr w:rsidR="00CD2ACA" w:rsidRPr="004F4666" w14:paraId="48C0D8AE" w14:textId="77777777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822" w14:textId="77777777" w:rsidR="00CD2ACA" w:rsidRPr="00EC5B30" w:rsidRDefault="00CD2ACA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Sposób i termin zagospodarowania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D76" w14:textId="77777777" w:rsidR="00CD2ACA" w:rsidRDefault="00504EA5" w:rsidP="00CD2ACA">
            <w:pPr>
              <w:spacing w:line="240" w:lineRule="auto"/>
            </w:pPr>
            <w:r>
              <w:t>Bezterminowo</w:t>
            </w:r>
            <w:r w:rsidR="007909AD">
              <w:t>.</w:t>
            </w:r>
          </w:p>
        </w:tc>
      </w:tr>
      <w:tr w:rsidR="00CD2ACA" w:rsidRPr="004F4666" w14:paraId="6565B869" w14:textId="77777777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9F" w14:textId="77777777" w:rsidR="00CD2ACA" w:rsidRDefault="00504EA5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Wady </w:t>
            </w:r>
            <w:r w:rsidR="00890524">
              <w:rPr>
                <w:b/>
              </w:rPr>
              <w:t>(</w:t>
            </w:r>
            <w:r>
              <w:rPr>
                <w:b/>
              </w:rPr>
              <w:t>ciężary</w:t>
            </w:r>
            <w:r w:rsidR="00890524">
              <w:rPr>
                <w:b/>
              </w:rPr>
              <w:t xml:space="preserve"> i ograniczenia)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D81" w14:textId="77777777" w:rsidR="00535241" w:rsidRDefault="007909AD" w:rsidP="00CD2ACA">
            <w:pPr>
              <w:spacing w:line="240" w:lineRule="auto"/>
            </w:pPr>
            <w:r>
              <w:t>W dziale</w:t>
            </w:r>
            <w:r w:rsidR="006F1AED">
              <w:t xml:space="preserve"> III i IV księgi wieczystej – brak wpisów</w:t>
            </w:r>
          </w:p>
        </w:tc>
      </w:tr>
    </w:tbl>
    <w:p w14:paraId="0A60793A" w14:textId="77777777" w:rsidR="00605DAB" w:rsidRDefault="00605DAB" w:rsidP="00605DAB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14:paraId="32175AD2" w14:textId="77777777" w:rsidR="00605DAB" w:rsidRDefault="00605DAB" w:rsidP="00605DAB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017A69">
        <w:rPr>
          <w:b/>
          <w:bCs/>
          <w:color w:val="000000"/>
          <w:lang w:eastAsia="en-US"/>
        </w:rPr>
        <w:t xml:space="preserve">Cena wywoławcza nieruchomości wynosi </w:t>
      </w:r>
      <w:r w:rsidR="00C74884">
        <w:rPr>
          <w:b/>
          <w:bCs/>
          <w:color w:val="000000"/>
          <w:lang w:eastAsia="en-US"/>
        </w:rPr>
        <w:t>70</w:t>
      </w:r>
      <w:r w:rsidRPr="00017A69">
        <w:rPr>
          <w:b/>
          <w:bCs/>
          <w:color w:val="000000"/>
          <w:lang w:eastAsia="en-US"/>
        </w:rPr>
        <w:t xml:space="preserve">.000,00 zł </w:t>
      </w:r>
    </w:p>
    <w:p w14:paraId="4503FF55" w14:textId="77777777" w:rsidR="00605DAB" w:rsidRPr="00017A69" w:rsidRDefault="00605DAB" w:rsidP="00605DAB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017A69">
        <w:rPr>
          <w:color w:val="000000"/>
          <w:lang w:eastAsia="en-US"/>
        </w:rPr>
        <w:t>(</w:t>
      </w:r>
      <w:r w:rsidR="006F1AED">
        <w:rPr>
          <w:color w:val="000000"/>
          <w:sz w:val="22"/>
          <w:szCs w:val="22"/>
          <w:lang w:eastAsia="en-US"/>
        </w:rPr>
        <w:t>w tym podatek</w:t>
      </w:r>
      <w:r w:rsidRPr="00605DAB">
        <w:rPr>
          <w:color w:val="000000"/>
          <w:sz w:val="22"/>
          <w:szCs w:val="22"/>
          <w:lang w:eastAsia="en-US"/>
        </w:rPr>
        <w:t xml:space="preserve"> VAT </w:t>
      </w:r>
      <w:r w:rsidR="006F1AED">
        <w:rPr>
          <w:color w:val="000000"/>
          <w:sz w:val="22"/>
          <w:szCs w:val="22"/>
          <w:lang w:eastAsia="en-US"/>
        </w:rPr>
        <w:t>1</w:t>
      </w:r>
      <w:r w:rsidR="00C74884">
        <w:rPr>
          <w:color w:val="000000"/>
          <w:sz w:val="22"/>
          <w:szCs w:val="22"/>
          <w:lang w:eastAsia="en-US"/>
        </w:rPr>
        <w:t>3</w:t>
      </w:r>
      <w:r w:rsidR="006F1AED">
        <w:rPr>
          <w:color w:val="000000"/>
          <w:sz w:val="22"/>
          <w:szCs w:val="22"/>
          <w:lang w:eastAsia="en-US"/>
        </w:rPr>
        <w:t>.</w:t>
      </w:r>
      <w:r w:rsidR="00C74884">
        <w:rPr>
          <w:color w:val="000000"/>
          <w:sz w:val="22"/>
          <w:szCs w:val="22"/>
          <w:lang w:eastAsia="en-US"/>
        </w:rPr>
        <w:t>089</w:t>
      </w:r>
      <w:r w:rsidR="006F1AED">
        <w:rPr>
          <w:color w:val="000000"/>
          <w:sz w:val="22"/>
          <w:szCs w:val="22"/>
          <w:lang w:eastAsia="en-US"/>
        </w:rPr>
        <w:t>,</w:t>
      </w:r>
      <w:r w:rsidR="00C74884">
        <w:rPr>
          <w:color w:val="000000"/>
          <w:sz w:val="22"/>
          <w:szCs w:val="22"/>
          <w:lang w:eastAsia="en-US"/>
        </w:rPr>
        <w:t>4</w:t>
      </w:r>
      <w:r w:rsidR="001D372F">
        <w:rPr>
          <w:color w:val="000000"/>
          <w:sz w:val="22"/>
          <w:szCs w:val="22"/>
          <w:lang w:eastAsia="en-US"/>
        </w:rPr>
        <w:t>3</w:t>
      </w:r>
      <w:r w:rsidR="006F1AED">
        <w:rPr>
          <w:color w:val="000000"/>
          <w:sz w:val="22"/>
          <w:szCs w:val="22"/>
          <w:lang w:eastAsia="en-US"/>
        </w:rPr>
        <w:t xml:space="preserve"> zł</w:t>
      </w:r>
      <w:r w:rsidRPr="00017A69">
        <w:rPr>
          <w:color w:val="000000"/>
          <w:lang w:eastAsia="en-US"/>
        </w:rPr>
        <w:t xml:space="preserve">). </w:t>
      </w:r>
    </w:p>
    <w:p w14:paraId="45673FF0" w14:textId="77777777" w:rsidR="00CD2ACA" w:rsidRDefault="00CD2ACA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14:paraId="250CAEC9" w14:textId="20350AA4" w:rsidR="00912299" w:rsidRPr="004E707F" w:rsidRDefault="00912299" w:rsidP="00912299">
      <w:pPr>
        <w:spacing w:line="240" w:lineRule="auto"/>
        <w:rPr>
          <w:sz w:val="22"/>
          <w:szCs w:val="22"/>
        </w:rPr>
      </w:pPr>
      <w:r w:rsidRPr="00AA1AED">
        <w:rPr>
          <w:b/>
          <w:bCs/>
          <w:color w:val="000000"/>
          <w:sz w:val="22"/>
          <w:szCs w:val="22"/>
          <w:lang w:eastAsia="en-US"/>
        </w:rPr>
        <w:t xml:space="preserve">Wadium w gotówce </w:t>
      </w:r>
      <w:r w:rsidRPr="00AA1AED">
        <w:rPr>
          <w:bCs/>
          <w:color w:val="000000"/>
          <w:sz w:val="22"/>
          <w:szCs w:val="22"/>
          <w:lang w:eastAsia="en-US"/>
        </w:rPr>
        <w:t xml:space="preserve">w wysokości </w:t>
      </w:r>
      <w:r w:rsidR="001D372F">
        <w:rPr>
          <w:b/>
          <w:bCs/>
          <w:color w:val="000000"/>
          <w:sz w:val="22"/>
          <w:szCs w:val="22"/>
          <w:lang w:eastAsia="en-US"/>
        </w:rPr>
        <w:t>1</w:t>
      </w:r>
      <w:r w:rsidR="00C74884">
        <w:rPr>
          <w:b/>
          <w:bCs/>
          <w:color w:val="000000"/>
          <w:sz w:val="22"/>
          <w:szCs w:val="22"/>
          <w:lang w:eastAsia="en-US"/>
        </w:rPr>
        <w:t>4</w:t>
      </w:r>
      <w:r w:rsidRPr="00AA1AED">
        <w:rPr>
          <w:b/>
          <w:bCs/>
          <w:color w:val="000000"/>
          <w:sz w:val="22"/>
          <w:szCs w:val="22"/>
          <w:lang w:eastAsia="en-US"/>
        </w:rPr>
        <w:t>.</w:t>
      </w:r>
      <w:r w:rsidR="00C74884">
        <w:rPr>
          <w:b/>
          <w:bCs/>
          <w:color w:val="000000"/>
          <w:sz w:val="22"/>
          <w:szCs w:val="22"/>
          <w:lang w:eastAsia="en-US"/>
        </w:rPr>
        <w:t>0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00,00 zł </w:t>
      </w:r>
      <w:r w:rsidRPr="00AA1AED">
        <w:rPr>
          <w:bCs/>
          <w:color w:val="000000"/>
          <w:sz w:val="22"/>
          <w:szCs w:val="22"/>
          <w:lang w:eastAsia="en-US"/>
        </w:rPr>
        <w:t xml:space="preserve">należy wpłacić najpóźniej do dnia </w:t>
      </w:r>
      <w:r w:rsidR="00B97301">
        <w:rPr>
          <w:b/>
          <w:bCs/>
          <w:color w:val="000000"/>
          <w:sz w:val="22"/>
          <w:szCs w:val="22"/>
          <w:lang w:eastAsia="en-US"/>
        </w:rPr>
        <w:t>30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B97301">
        <w:rPr>
          <w:b/>
          <w:bCs/>
          <w:color w:val="000000"/>
          <w:sz w:val="22"/>
          <w:szCs w:val="22"/>
          <w:lang w:eastAsia="en-US"/>
        </w:rPr>
        <w:t>czerwca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20</w:t>
      </w:r>
      <w:r>
        <w:rPr>
          <w:b/>
          <w:bCs/>
          <w:color w:val="000000"/>
          <w:sz w:val="22"/>
          <w:szCs w:val="22"/>
          <w:lang w:eastAsia="en-US"/>
        </w:rPr>
        <w:t>20</w:t>
      </w:r>
      <w:r w:rsidRPr="00AA1AED">
        <w:rPr>
          <w:b/>
          <w:bCs/>
          <w:color w:val="000000"/>
          <w:sz w:val="22"/>
          <w:szCs w:val="22"/>
          <w:lang w:eastAsia="en-US"/>
        </w:rPr>
        <w:t xml:space="preserve"> r</w:t>
      </w:r>
      <w:r w:rsidRPr="00AA1AED">
        <w:rPr>
          <w:bCs/>
          <w:color w:val="000000"/>
          <w:sz w:val="22"/>
          <w:szCs w:val="22"/>
          <w:lang w:eastAsia="en-US"/>
        </w:rPr>
        <w:t xml:space="preserve">. na rachunek Bankowy Urzędu Miasta Czarnków nr 50 1020 4027 0000 1402 0782 2093. </w:t>
      </w:r>
      <w:r w:rsidRPr="00AA1AED">
        <w:rPr>
          <w:sz w:val="22"/>
          <w:szCs w:val="22"/>
        </w:rPr>
        <w:t>Za dzień zapłaty wadium przyjmuje się dzień uznania ww. rachunku bankowego.</w:t>
      </w:r>
      <w:r>
        <w:rPr>
          <w:sz w:val="22"/>
          <w:szCs w:val="22"/>
        </w:rPr>
        <w:t xml:space="preserve"> </w:t>
      </w:r>
      <w:r w:rsidRPr="004E707F">
        <w:rPr>
          <w:sz w:val="22"/>
          <w:szCs w:val="22"/>
        </w:rPr>
        <w:t>Wadium zwraca się wszystkim uczestnikom przetargu za wyjątkiem uczestnika, który przetarg wygrał, niezwłocznie po odwołaniu albo zamknięciu przetargu, jednak nie później niż przed upływem 3 dni od dnia odwołania przetargu, zamknięcia przetargu, unieważnienia przetargu lub zakończenia przetargu wynikiem negatywnym.</w:t>
      </w:r>
    </w:p>
    <w:p w14:paraId="729A0B44" w14:textId="77777777" w:rsidR="00912299" w:rsidRPr="004E707F" w:rsidRDefault="00912299" w:rsidP="00912299">
      <w:pPr>
        <w:spacing w:line="240" w:lineRule="auto"/>
        <w:rPr>
          <w:sz w:val="22"/>
          <w:szCs w:val="22"/>
        </w:rPr>
      </w:pPr>
      <w:r w:rsidRPr="004E707F">
        <w:rPr>
          <w:sz w:val="22"/>
          <w:szCs w:val="22"/>
        </w:rPr>
        <w:t>Wadium wniesione w pieniądzu przez uczestnika przetargu, który przetarg wygrał, zalicza się na poczet ceny nabycia nieruchomości.</w:t>
      </w:r>
    </w:p>
    <w:p w14:paraId="1AAF1D07" w14:textId="77777777" w:rsidR="00912299" w:rsidRDefault="00912299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14:paraId="4AF9499E" w14:textId="3E363893" w:rsidR="00765367" w:rsidRPr="00FC0E7B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Przetarg odbędzie się w </w:t>
      </w:r>
      <w:r w:rsidR="00B97301">
        <w:rPr>
          <w:b/>
          <w:bCs/>
          <w:color w:val="000000"/>
          <w:lang w:eastAsia="en-US"/>
        </w:rPr>
        <w:t>03</w:t>
      </w:r>
      <w:r w:rsidR="00CF1BE5">
        <w:rPr>
          <w:b/>
          <w:bCs/>
          <w:color w:val="000000"/>
          <w:lang w:eastAsia="en-US"/>
        </w:rPr>
        <w:t xml:space="preserve"> </w:t>
      </w:r>
      <w:r w:rsidR="00B97301">
        <w:rPr>
          <w:b/>
          <w:bCs/>
          <w:color w:val="000000"/>
          <w:lang w:eastAsia="en-US"/>
        </w:rPr>
        <w:t>lipca</w:t>
      </w:r>
      <w:r w:rsidR="000D3224">
        <w:rPr>
          <w:b/>
          <w:bCs/>
          <w:color w:val="000000"/>
          <w:lang w:eastAsia="en-US"/>
        </w:rPr>
        <w:t xml:space="preserve"> 20</w:t>
      </w:r>
      <w:r w:rsidR="00381CBE">
        <w:rPr>
          <w:b/>
          <w:bCs/>
          <w:color w:val="000000"/>
          <w:lang w:eastAsia="en-US"/>
        </w:rPr>
        <w:t>20</w:t>
      </w:r>
      <w:r w:rsidR="000D3224">
        <w:rPr>
          <w:b/>
          <w:bCs/>
          <w:color w:val="000000"/>
          <w:lang w:eastAsia="en-US"/>
        </w:rPr>
        <w:t xml:space="preserve"> roku</w:t>
      </w:r>
      <w:r w:rsidR="00F869FC" w:rsidRPr="00FC0E7B">
        <w:rPr>
          <w:b/>
          <w:color w:val="000000"/>
          <w:lang w:eastAsia="en-US"/>
        </w:rPr>
        <w:t xml:space="preserve"> r. </w:t>
      </w:r>
      <w:r w:rsidRPr="00FC0E7B">
        <w:rPr>
          <w:b/>
          <w:color w:val="000000"/>
          <w:lang w:eastAsia="en-US"/>
        </w:rPr>
        <w:t xml:space="preserve">o godz. </w:t>
      </w:r>
      <w:r w:rsidR="000D3224">
        <w:rPr>
          <w:b/>
          <w:color w:val="000000"/>
          <w:lang w:eastAsia="en-US"/>
        </w:rPr>
        <w:t>10.</w:t>
      </w:r>
      <w:r w:rsidR="001D372F">
        <w:rPr>
          <w:b/>
          <w:color w:val="000000"/>
          <w:lang w:eastAsia="en-US"/>
        </w:rPr>
        <w:t>00</w:t>
      </w:r>
      <w:r w:rsidRPr="00FC0E7B">
        <w:rPr>
          <w:color w:val="000000"/>
          <w:lang w:eastAsia="en-US"/>
        </w:rPr>
        <w:t xml:space="preserve"> </w:t>
      </w:r>
      <w:r w:rsidRPr="00FC0E7B">
        <w:rPr>
          <w:b/>
          <w:bCs/>
          <w:color w:val="000000"/>
          <w:lang w:eastAsia="en-US"/>
        </w:rPr>
        <w:t xml:space="preserve">w siedzibie </w:t>
      </w:r>
      <w:r w:rsidR="00F869FC" w:rsidRPr="00FC0E7B">
        <w:rPr>
          <w:color w:val="000000"/>
          <w:lang w:eastAsia="en-US"/>
        </w:rPr>
        <w:t>Urzędu Miasta Czarnków</w:t>
      </w:r>
      <w:r w:rsidRPr="00FC0E7B">
        <w:rPr>
          <w:color w:val="000000"/>
          <w:lang w:eastAsia="en-US"/>
        </w:rPr>
        <w:t xml:space="preserve">, </w:t>
      </w:r>
      <w:r w:rsidR="007D3904">
        <w:rPr>
          <w:color w:val="000000"/>
          <w:lang w:eastAsia="en-US"/>
        </w:rPr>
        <w:br/>
      </w:r>
      <w:r w:rsidR="00F869FC" w:rsidRPr="00FC0E7B">
        <w:rPr>
          <w:color w:val="000000"/>
          <w:lang w:eastAsia="en-US"/>
        </w:rPr>
        <w:t xml:space="preserve">Pl. Wolności 6, w salce konferencyjnej </w:t>
      </w:r>
      <w:r w:rsidRPr="00FC0E7B">
        <w:rPr>
          <w:color w:val="000000"/>
          <w:lang w:eastAsia="en-US"/>
        </w:rPr>
        <w:t>nr 10</w:t>
      </w:r>
      <w:r w:rsidR="00F869FC" w:rsidRPr="00FC0E7B">
        <w:rPr>
          <w:color w:val="000000"/>
          <w:lang w:eastAsia="en-US"/>
        </w:rPr>
        <w:t>3 (wejście obok sekretariatu)</w:t>
      </w:r>
      <w:r w:rsidRPr="00FC0E7B">
        <w:rPr>
          <w:color w:val="000000"/>
          <w:lang w:eastAsia="en-US"/>
        </w:rPr>
        <w:t>.</w:t>
      </w:r>
    </w:p>
    <w:p w14:paraId="588A1574" w14:textId="77777777" w:rsidR="000D3224" w:rsidRDefault="000D3224" w:rsidP="004029B2">
      <w:pPr>
        <w:spacing w:line="240" w:lineRule="auto"/>
      </w:pPr>
    </w:p>
    <w:p w14:paraId="4465E1ED" w14:textId="77777777" w:rsidR="004029B2" w:rsidRDefault="004029B2" w:rsidP="004029B2">
      <w:pPr>
        <w:spacing w:line="240" w:lineRule="auto"/>
      </w:pPr>
      <w:r>
        <w:t xml:space="preserve">Uczestnik przetargu może, w terminie 7 dni od dnia ogłoszenia wyniku przetargu, zaskarżyć czynności </w:t>
      </w:r>
      <w:r w:rsidR="00281F4F">
        <w:t>z</w:t>
      </w:r>
      <w:r>
        <w:t xml:space="preserve">wiązane z przeprowadzeniem przetargu do Burmistrza Miasta Czarnków. </w:t>
      </w:r>
    </w:p>
    <w:p w14:paraId="13991253" w14:textId="77777777" w:rsidR="004029B2" w:rsidRPr="00D46226" w:rsidRDefault="004029B2" w:rsidP="004029B2">
      <w:pPr>
        <w:widowControl w:val="0"/>
        <w:spacing w:line="240" w:lineRule="auto"/>
      </w:pPr>
      <w:r w:rsidRPr="00D46226">
        <w:t xml:space="preserve">Osoba reprezentująca w przetargu osobę prawną </w:t>
      </w:r>
      <w:r>
        <w:t xml:space="preserve">lub inną osobę fizyczną </w:t>
      </w:r>
      <w:r w:rsidRPr="00D46226">
        <w:t>winna okazać</w:t>
      </w:r>
      <w:r w:rsidR="00281F4F">
        <w:t xml:space="preserve"> stosowne</w:t>
      </w:r>
      <w:r w:rsidRPr="00D46226">
        <w:t xml:space="preserve"> </w:t>
      </w:r>
      <w:r w:rsidR="00281F4F">
        <w:t>pełnomocnictwo.</w:t>
      </w:r>
    </w:p>
    <w:p w14:paraId="7260A9BB" w14:textId="77777777" w:rsidR="00CF1BE5" w:rsidRPr="0087239C" w:rsidRDefault="00CF1BE5" w:rsidP="00CF1BE5">
      <w:pPr>
        <w:spacing w:line="240" w:lineRule="auto"/>
        <w:rPr>
          <w:i/>
          <w:iCs/>
        </w:rPr>
      </w:pPr>
      <w:r>
        <w:t xml:space="preserve">Jeżeli osoba ustalona jako nabywca nieruchomości nie stawi się bez usprawiedliwienia </w:t>
      </w:r>
      <w:r>
        <w:br/>
        <w:t>w miejscu i terminie podanym w zawiadomieniu, Burmistrz Miasta Czarnków może odstąpić od zawarcia umowy, a wpłacone wadium nie podlega  zwrotowi.</w:t>
      </w:r>
    </w:p>
    <w:p w14:paraId="015C51E4" w14:textId="77777777" w:rsidR="004029B2" w:rsidRDefault="004029B2" w:rsidP="00765367">
      <w:pPr>
        <w:rPr>
          <w:iCs/>
          <w:color w:val="000000"/>
          <w:lang w:eastAsia="en-US"/>
        </w:rPr>
      </w:pPr>
    </w:p>
    <w:p w14:paraId="4DBE3B1E" w14:textId="77777777" w:rsidR="00281F4F" w:rsidRPr="00487A78" w:rsidRDefault="00281F4F" w:rsidP="00281F4F">
      <w:r w:rsidRPr="00487A78">
        <w:rPr>
          <w:iCs/>
          <w:color w:val="000000"/>
          <w:sz w:val="22"/>
          <w:szCs w:val="22"/>
          <w:lang w:eastAsia="en-US"/>
        </w:rPr>
        <w:t xml:space="preserve">Informacje szczegółowe można uzyskać w pokoju nr </w:t>
      </w:r>
      <w:r>
        <w:rPr>
          <w:iCs/>
          <w:color w:val="000000"/>
          <w:sz w:val="22"/>
          <w:szCs w:val="22"/>
          <w:lang w:eastAsia="en-US"/>
        </w:rPr>
        <w:t>212 lub telefonicznie 672552804.</w:t>
      </w:r>
    </w:p>
    <w:p w14:paraId="15EEDCF2" w14:textId="77777777" w:rsidR="00281F4F" w:rsidRDefault="00281F4F" w:rsidP="00765367">
      <w:pPr>
        <w:rPr>
          <w:iCs/>
          <w:color w:val="000000"/>
          <w:lang w:eastAsia="en-US"/>
        </w:rPr>
      </w:pPr>
    </w:p>
    <w:sectPr w:rsidR="00281F4F" w:rsidSect="007D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02F68"/>
    <w:multiLevelType w:val="hybridMultilevel"/>
    <w:tmpl w:val="B6B0FAB4"/>
    <w:lvl w:ilvl="0" w:tplc="C116128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4248532E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2232"/>
    <w:multiLevelType w:val="multilevel"/>
    <w:tmpl w:val="161A3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67"/>
    <w:rsid w:val="000300FD"/>
    <w:rsid w:val="000D3224"/>
    <w:rsid w:val="000F71A4"/>
    <w:rsid w:val="001D372F"/>
    <w:rsid w:val="001F656A"/>
    <w:rsid w:val="002235D0"/>
    <w:rsid w:val="00247AA3"/>
    <w:rsid w:val="00281E86"/>
    <w:rsid w:val="00281F4F"/>
    <w:rsid w:val="00297D13"/>
    <w:rsid w:val="002B4053"/>
    <w:rsid w:val="002E5731"/>
    <w:rsid w:val="00316F46"/>
    <w:rsid w:val="00366B17"/>
    <w:rsid w:val="00381CBE"/>
    <w:rsid w:val="003B61FA"/>
    <w:rsid w:val="004029B2"/>
    <w:rsid w:val="00487A78"/>
    <w:rsid w:val="0050214A"/>
    <w:rsid w:val="00504EA5"/>
    <w:rsid w:val="00523E62"/>
    <w:rsid w:val="00535241"/>
    <w:rsid w:val="00557057"/>
    <w:rsid w:val="0059035F"/>
    <w:rsid w:val="005C3E14"/>
    <w:rsid w:val="00605DAB"/>
    <w:rsid w:val="006766FC"/>
    <w:rsid w:val="006F1AED"/>
    <w:rsid w:val="00765367"/>
    <w:rsid w:val="00785349"/>
    <w:rsid w:val="007909AD"/>
    <w:rsid w:val="007D3904"/>
    <w:rsid w:val="00890524"/>
    <w:rsid w:val="0089058B"/>
    <w:rsid w:val="008E7677"/>
    <w:rsid w:val="008F13B6"/>
    <w:rsid w:val="00912299"/>
    <w:rsid w:val="00940426"/>
    <w:rsid w:val="009A4282"/>
    <w:rsid w:val="00B97301"/>
    <w:rsid w:val="00BB2383"/>
    <w:rsid w:val="00BC4D35"/>
    <w:rsid w:val="00C74884"/>
    <w:rsid w:val="00CD2ACA"/>
    <w:rsid w:val="00CF1BE5"/>
    <w:rsid w:val="00DD3D04"/>
    <w:rsid w:val="00E5046C"/>
    <w:rsid w:val="00E95502"/>
    <w:rsid w:val="00F869FC"/>
    <w:rsid w:val="00FC0E7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489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5</cp:revision>
  <cp:lastPrinted>2018-12-18T12:03:00Z</cp:lastPrinted>
  <dcterms:created xsi:type="dcterms:W3CDTF">2020-02-10T10:58:00Z</dcterms:created>
  <dcterms:modified xsi:type="dcterms:W3CDTF">2020-05-25T10:12:00Z</dcterms:modified>
</cp:coreProperties>
</file>